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2"/>
        <w:ind w:left="100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Title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page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2"/>
        </w:rPr>
      </w:pPr>
    </w:p>
    <w:p>
      <w:pPr>
        <w:spacing w:before="100"/>
        <w:ind w:left="1668" w:right="1605" w:firstLine="0"/>
        <w:jc w:val="center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pacing w:val="-1"/>
          <w:sz w:val="24"/>
        </w:rPr>
        <w:t>S</w:t>
      </w:r>
      <w:r>
        <w:rPr>
          <w:rFonts w:ascii="Century Schoolbook" w:hAnsi="Century Schoolbook"/>
          <w:spacing w:val="-1"/>
          <w:sz w:val="19"/>
        </w:rPr>
        <w:t>EXUAL </w:t>
      </w:r>
      <w:r>
        <w:rPr>
          <w:rFonts w:ascii="Century Schoolbook" w:hAnsi="Century Schoolbook"/>
          <w:spacing w:val="-1"/>
          <w:sz w:val="24"/>
        </w:rPr>
        <w:t>O</w:t>
      </w:r>
      <w:r>
        <w:rPr>
          <w:rFonts w:ascii="Century Schoolbook" w:hAnsi="Century Schoolbook"/>
          <w:spacing w:val="-1"/>
          <w:sz w:val="19"/>
        </w:rPr>
        <w:t>RIENTATION </w:t>
      </w:r>
      <w:r>
        <w:rPr>
          <w:rFonts w:ascii="Century Schoolbook" w:hAnsi="Century Schoolbook"/>
          <w:sz w:val="24"/>
        </w:rPr>
        <w:t>C</w:t>
      </w:r>
      <w:r>
        <w:rPr>
          <w:rFonts w:ascii="Century Schoolbook" w:hAnsi="Century Schoolbook"/>
          <w:sz w:val="19"/>
        </w:rPr>
        <w:t>HANGE </w:t>
      </w:r>
      <w:r>
        <w:rPr>
          <w:rFonts w:ascii="Century Schoolbook" w:hAnsi="Century Schoolbook"/>
          <w:sz w:val="24"/>
        </w:rPr>
        <w:t>E</w:t>
      </w:r>
      <w:r>
        <w:rPr>
          <w:rFonts w:ascii="Century Schoolbook" w:hAnsi="Century Schoolbook"/>
          <w:sz w:val="19"/>
        </w:rPr>
        <w:t>FFORTS </w:t>
      </w:r>
      <w:r>
        <w:rPr>
          <w:rFonts w:ascii="Century Schoolbook" w:hAnsi="Century Schoolbook"/>
          <w:sz w:val="24"/>
        </w:rPr>
        <w:t>(SOCE) S</w:t>
      </w:r>
      <w:r>
        <w:rPr>
          <w:rFonts w:ascii="Century Schoolbook" w:hAnsi="Century Schoolbook"/>
          <w:sz w:val="19"/>
        </w:rPr>
        <w:t>TRONGLY </w:t>
      </w:r>
      <w:r>
        <w:rPr>
          <w:rFonts w:ascii="Century Schoolbook" w:hAnsi="Century Schoolbook"/>
          <w:sz w:val="24"/>
        </w:rPr>
        <w:t>R</w:t>
      </w:r>
      <w:r>
        <w:rPr>
          <w:rFonts w:ascii="Century Schoolbook" w:hAnsi="Century Schoolbook"/>
          <w:sz w:val="19"/>
        </w:rPr>
        <w:t>EDUCE </w:t>
      </w:r>
      <w:r>
        <w:rPr>
          <w:rFonts w:ascii="Century Schoolbook" w:hAnsi="Century Schoolbook"/>
          <w:sz w:val="24"/>
        </w:rPr>
        <w:t>S</w:t>
      </w:r>
      <w:r>
        <w:rPr>
          <w:rFonts w:ascii="Century Schoolbook" w:hAnsi="Century Schoolbook"/>
          <w:sz w:val="19"/>
        </w:rPr>
        <w:t>UICIDALITY</w:t>
      </w:r>
      <w:r>
        <w:rPr>
          <w:rFonts w:ascii="Century Schoolbook" w:hAnsi="Century Schoolbook"/>
          <w:sz w:val="24"/>
        </w:rPr>
        <w:t>:</w:t>
      </w:r>
      <w:r>
        <w:rPr>
          <w:rFonts w:ascii="Century Schoolbook" w:hAnsi="Century Schoolbook"/>
          <w:spacing w:val="1"/>
          <w:sz w:val="24"/>
        </w:rPr>
        <w:t> </w:t>
      </w:r>
      <w:r>
        <w:rPr>
          <w:rFonts w:ascii="Century Schoolbook" w:hAnsi="Century Schoolbook"/>
          <w:spacing w:val="-1"/>
          <w:sz w:val="24"/>
        </w:rPr>
        <w:t>A C</w:t>
      </w:r>
      <w:r>
        <w:rPr>
          <w:rFonts w:ascii="Century Schoolbook" w:hAnsi="Century Schoolbook"/>
          <w:spacing w:val="-1"/>
          <w:sz w:val="19"/>
        </w:rPr>
        <w:t>OMMENTARY ON </w:t>
      </w:r>
      <w:r>
        <w:rPr>
          <w:rFonts w:ascii="Century Schoolbook" w:hAnsi="Century Schoolbook"/>
          <w:spacing w:val="-1"/>
          <w:sz w:val="24"/>
        </w:rPr>
        <w:t>B</w:t>
      </w:r>
      <w:r>
        <w:rPr>
          <w:rFonts w:ascii="Century Schoolbook" w:hAnsi="Century Schoolbook"/>
          <w:spacing w:val="-1"/>
          <w:sz w:val="19"/>
        </w:rPr>
        <w:t>LOSNICH ET AL</w:t>
      </w:r>
      <w:r>
        <w:rPr>
          <w:rFonts w:ascii="Century Schoolbook" w:hAnsi="Century Schoolbook"/>
          <w:spacing w:val="-1"/>
          <w:sz w:val="24"/>
        </w:rPr>
        <w:t>., “S</w:t>
      </w:r>
      <w:r>
        <w:rPr>
          <w:rFonts w:ascii="Century Schoolbook" w:hAnsi="Century Schoolbook"/>
          <w:spacing w:val="-1"/>
          <w:sz w:val="19"/>
        </w:rPr>
        <w:t>EXUAL </w:t>
      </w:r>
      <w:r>
        <w:rPr>
          <w:rFonts w:ascii="Century Schoolbook" w:hAnsi="Century Schoolbook"/>
          <w:sz w:val="24"/>
        </w:rPr>
        <w:t>O</w:t>
      </w:r>
      <w:r>
        <w:rPr>
          <w:rFonts w:ascii="Century Schoolbook" w:hAnsi="Century Schoolbook"/>
          <w:sz w:val="19"/>
        </w:rPr>
        <w:t>RIENTATION </w:t>
      </w:r>
      <w:r>
        <w:rPr>
          <w:rFonts w:ascii="Century Schoolbook" w:hAnsi="Century Schoolbook"/>
          <w:sz w:val="24"/>
        </w:rPr>
        <w:t>C</w:t>
      </w:r>
      <w:r>
        <w:rPr>
          <w:rFonts w:ascii="Century Schoolbook" w:hAnsi="Century Schoolbook"/>
          <w:sz w:val="19"/>
        </w:rPr>
        <w:t>HANGE </w:t>
      </w:r>
      <w:r>
        <w:rPr>
          <w:rFonts w:ascii="Century Schoolbook" w:hAnsi="Century Schoolbook"/>
          <w:sz w:val="24"/>
        </w:rPr>
        <w:t>E</w:t>
      </w:r>
      <w:r>
        <w:rPr>
          <w:rFonts w:ascii="Century Schoolbook" w:hAnsi="Century Schoolbook"/>
          <w:sz w:val="19"/>
        </w:rPr>
        <w:t>FFORTS</w:t>
      </w:r>
      <w:r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pacing w:val="1"/>
          <w:sz w:val="24"/>
        </w:rPr>
        <w:t> </w:t>
      </w:r>
      <w:r>
        <w:rPr>
          <w:rFonts w:ascii="Century Schoolbook" w:hAnsi="Century Schoolbook"/>
          <w:spacing w:val="-1"/>
          <w:sz w:val="24"/>
        </w:rPr>
        <w:t>A</w:t>
      </w:r>
      <w:r>
        <w:rPr>
          <w:rFonts w:ascii="Century Schoolbook" w:hAnsi="Century Schoolbook"/>
          <w:spacing w:val="-1"/>
          <w:sz w:val="19"/>
        </w:rPr>
        <w:t>DVERSE </w:t>
      </w:r>
      <w:r>
        <w:rPr>
          <w:rFonts w:ascii="Century Schoolbook" w:hAnsi="Century Schoolbook"/>
          <w:spacing w:val="-1"/>
          <w:sz w:val="24"/>
        </w:rPr>
        <w:t>C</w:t>
      </w:r>
      <w:r>
        <w:rPr>
          <w:rFonts w:ascii="Century Schoolbook" w:hAnsi="Century Schoolbook"/>
          <w:spacing w:val="-1"/>
          <w:sz w:val="19"/>
        </w:rPr>
        <w:t>HILDHOOD </w:t>
      </w:r>
      <w:r>
        <w:rPr>
          <w:rFonts w:ascii="Century Schoolbook" w:hAnsi="Century Schoolbook"/>
          <w:sz w:val="24"/>
        </w:rPr>
        <w:t>E</w:t>
      </w:r>
      <w:r>
        <w:rPr>
          <w:rFonts w:ascii="Century Schoolbook" w:hAnsi="Century Schoolbook"/>
          <w:sz w:val="19"/>
        </w:rPr>
        <w:t>XPERIENCES</w:t>
      </w:r>
      <w:r>
        <w:rPr>
          <w:rFonts w:ascii="Century Schoolbook" w:hAnsi="Century Schoolbook"/>
          <w:sz w:val="24"/>
        </w:rPr>
        <w:t>, </w:t>
      </w:r>
      <w:r>
        <w:rPr>
          <w:rFonts w:ascii="Century Schoolbook" w:hAnsi="Century Schoolbook"/>
          <w:sz w:val="19"/>
        </w:rPr>
        <w:t>AND </w:t>
      </w:r>
      <w:r>
        <w:rPr>
          <w:rFonts w:ascii="Century Schoolbook" w:hAnsi="Century Schoolbook"/>
          <w:sz w:val="24"/>
        </w:rPr>
        <w:t>S</w:t>
      </w:r>
      <w:r>
        <w:rPr>
          <w:rFonts w:ascii="Century Schoolbook" w:hAnsi="Century Schoolbook"/>
          <w:sz w:val="19"/>
        </w:rPr>
        <w:t>UICIDE </w:t>
      </w:r>
      <w:r>
        <w:rPr>
          <w:rFonts w:ascii="Century Schoolbook" w:hAnsi="Century Schoolbook"/>
          <w:sz w:val="24"/>
        </w:rPr>
        <w:t>I</w:t>
      </w:r>
      <w:r>
        <w:rPr>
          <w:rFonts w:ascii="Century Schoolbook" w:hAnsi="Century Schoolbook"/>
          <w:sz w:val="19"/>
        </w:rPr>
        <w:t>DEATION AND </w:t>
      </w:r>
      <w:r>
        <w:rPr>
          <w:rFonts w:ascii="Century Schoolbook" w:hAnsi="Century Schoolbook"/>
          <w:sz w:val="24"/>
        </w:rPr>
        <w:t>A</w:t>
      </w:r>
      <w:r>
        <w:rPr>
          <w:rFonts w:ascii="Century Schoolbook" w:hAnsi="Century Schoolbook"/>
          <w:sz w:val="19"/>
        </w:rPr>
        <w:t>TTEMPT </w:t>
      </w:r>
      <w:r>
        <w:rPr>
          <w:rFonts w:ascii="Century Schoolbook" w:hAnsi="Century Schoolbook"/>
          <w:sz w:val="24"/>
        </w:rPr>
        <w:t>A</w:t>
      </w:r>
      <w:r>
        <w:rPr>
          <w:rFonts w:ascii="Century Schoolbook" w:hAnsi="Century Schoolbook"/>
          <w:sz w:val="19"/>
        </w:rPr>
        <w:t>MONG</w:t>
      </w:r>
      <w:r>
        <w:rPr>
          <w:rFonts w:ascii="Century Schoolbook" w:hAnsi="Century Schoolbook"/>
          <w:spacing w:val="1"/>
          <w:sz w:val="19"/>
        </w:rPr>
        <w:t> </w:t>
      </w:r>
      <w:r>
        <w:rPr>
          <w:rFonts w:ascii="Century Schoolbook" w:hAnsi="Century Schoolbook"/>
          <w:spacing w:val="-1"/>
          <w:sz w:val="24"/>
        </w:rPr>
        <w:t>S</w:t>
      </w:r>
      <w:r>
        <w:rPr>
          <w:rFonts w:ascii="Century Schoolbook" w:hAnsi="Century Schoolbook"/>
          <w:spacing w:val="-1"/>
          <w:sz w:val="19"/>
        </w:rPr>
        <w:t>EXUAL</w:t>
      </w:r>
      <w:r>
        <w:rPr>
          <w:rFonts w:ascii="Century Schoolbook" w:hAnsi="Century Schoolbook"/>
          <w:spacing w:val="-2"/>
          <w:sz w:val="19"/>
        </w:rPr>
        <w:t> </w:t>
      </w:r>
      <w:r>
        <w:rPr>
          <w:rFonts w:ascii="Century Schoolbook" w:hAnsi="Century Schoolbook"/>
          <w:spacing w:val="-1"/>
          <w:sz w:val="24"/>
        </w:rPr>
        <w:t>M</w:t>
      </w:r>
      <w:r>
        <w:rPr>
          <w:rFonts w:ascii="Century Schoolbook" w:hAnsi="Century Schoolbook"/>
          <w:spacing w:val="-1"/>
          <w:sz w:val="19"/>
        </w:rPr>
        <w:t>INORITY</w:t>
      </w:r>
      <w:r>
        <w:rPr>
          <w:rFonts w:ascii="Century Schoolbook" w:hAnsi="Century Schoolbook"/>
          <w:sz w:val="19"/>
        </w:rPr>
        <w:t> </w:t>
      </w:r>
      <w:r>
        <w:rPr>
          <w:rFonts w:ascii="Century Schoolbook" w:hAnsi="Century Schoolbook"/>
          <w:spacing w:val="-1"/>
          <w:sz w:val="24"/>
        </w:rPr>
        <w:t>A</w:t>
      </w:r>
      <w:r>
        <w:rPr>
          <w:rFonts w:ascii="Century Schoolbook" w:hAnsi="Century Schoolbook"/>
          <w:spacing w:val="-1"/>
          <w:sz w:val="19"/>
        </w:rPr>
        <w:t>DULTS</w:t>
      </w:r>
      <w:r>
        <w:rPr>
          <w:rFonts w:ascii="Century Schoolbook" w:hAnsi="Century Schoolbook"/>
          <w:spacing w:val="-1"/>
          <w:sz w:val="24"/>
        </w:rPr>
        <w:t>,</w:t>
      </w:r>
      <w:r>
        <w:rPr>
          <w:rFonts w:ascii="Century Schoolbook" w:hAnsi="Century Schoolbook"/>
          <w:spacing w:val="-15"/>
          <w:sz w:val="24"/>
        </w:rPr>
        <w:t> </w:t>
      </w:r>
      <w:r>
        <w:rPr>
          <w:rFonts w:ascii="Century Schoolbook" w:hAnsi="Century Schoolbook"/>
          <w:sz w:val="24"/>
        </w:rPr>
        <w:t>U</w:t>
      </w:r>
      <w:r>
        <w:rPr>
          <w:rFonts w:ascii="Century Schoolbook" w:hAnsi="Century Schoolbook"/>
          <w:sz w:val="19"/>
        </w:rPr>
        <w:t>NITED</w:t>
      </w:r>
      <w:r>
        <w:rPr>
          <w:rFonts w:ascii="Century Schoolbook" w:hAnsi="Century Schoolbook"/>
          <w:spacing w:val="-2"/>
          <w:sz w:val="19"/>
        </w:rPr>
        <w:t> </w:t>
      </w:r>
      <w:r>
        <w:rPr>
          <w:rFonts w:ascii="Century Schoolbook" w:hAnsi="Century Schoolbook"/>
          <w:sz w:val="24"/>
        </w:rPr>
        <w:t>S</w:t>
      </w:r>
      <w:r>
        <w:rPr>
          <w:rFonts w:ascii="Century Schoolbook" w:hAnsi="Century Schoolbook"/>
          <w:sz w:val="19"/>
        </w:rPr>
        <w:t>TATES</w:t>
      </w:r>
      <w:r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pacing w:val="-14"/>
          <w:sz w:val="24"/>
        </w:rPr>
        <w:t> </w:t>
      </w:r>
      <w:r>
        <w:rPr>
          <w:rFonts w:ascii="Century Schoolbook" w:hAnsi="Century Schoolbook"/>
          <w:sz w:val="24"/>
        </w:rPr>
        <w:t>2016–2018”,</w:t>
      </w:r>
      <w:r>
        <w:rPr>
          <w:rFonts w:ascii="Century Schoolbook" w:hAnsi="Century Schoolbook"/>
          <w:spacing w:val="-16"/>
          <w:sz w:val="24"/>
        </w:rPr>
        <w:t> </w:t>
      </w:r>
      <w:r>
        <w:rPr>
          <w:rFonts w:ascii="Century Schoolbook" w:hAnsi="Century Schoolbook"/>
          <w:sz w:val="24"/>
        </w:rPr>
        <w:t>AJPH</w:t>
      </w:r>
      <w:r>
        <w:rPr>
          <w:rFonts w:ascii="Century Schoolbook" w:hAnsi="Century Schoolbook"/>
          <w:spacing w:val="-16"/>
          <w:sz w:val="24"/>
        </w:rPr>
        <w:t> </w:t>
      </w:r>
      <w:r>
        <w:rPr>
          <w:rFonts w:ascii="Century Schoolbook" w:hAnsi="Century Schoolbook"/>
          <w:sz w:val="24"/>
        </w:rPr>
        <w:t>110(7):</w:t>
      </w:r>
      <w:r>
        <w:rPr>
          <w:rFonts w:ascii="Century Schoolbook" w:hAnsi="Century Schoolbook"/>
          <w:spacing w:val="-15"/>
          <w:sz w:val="24"/>
        </w:rPr>
        <w:t> </w:t>
      </w:r>
      <w:r>
        <w:rPr>
          <w:rFonts w:ascii="Century Schoolbook" w:hAnsi="Century Schoolbook"/>
          <w:sz w:val="24"/>
        </w:rPr>
        <w:t>1024-1030</w:t>
      </w:r>
    </w:p>
    <w:p>
      <w:pPr>
        <w:pStyle w:val="BodyText"/>
        <w:rPr>
          <w:rFonts w:ascii="Century Schoolbook"/>
          <w:sz w:val="28"/>
        </w:rPr>
      </w:pPr>
    </w:p>
    <w:p>
      <w:pPr>
        <w:pStyle w:val="BodyText"/>
        <w:rPr>
          <w:rFonts w:ascii="Century Schoolbook"/>
          <w:sz w:val="28"/>
        </w:rPr>
      </w:pPr>
    </w:p>
    <w:p>
      <w:pPr>
        <w:pStyle w:val="BodyText"/>
        <w:rPr>
          <w:rFonts w:ascii="Century Schoolbook"/>
          <w:sz w:val="28"/>
        </w:rPr>
      </w:pPr>
    </w:p>
    <w:p>
      <w:pPr>
        <w:pStyle w:val="BodyText"/>
        <w:rPr>
          <w:rFonts w:ascii="Century Schoolbook"/>
          <w:sz w:val="28"/>
        </w:rPr>
      </w:pPr>
    </w:p>
    <w:p>
      <w:pPr>
        <w:pStyle w:val="BodyText"/>
        <w:rPr>
          <w:rFonts w:ascii="Century Schoolbook"/>
          <w:sz w:val="28"/>
        </w:rPr>
      </w:pPr>
    </w:p>
    <w:p>
      <w:pPr>
        <w:pStyle w:val="BodyText"/>
        <w:rPr>
          <w:rFonts w:ascii="Century Schoolbook"/>
          <w:sz w:val="28"/>
        </w:rPr>
      </w:pPr>
    </w:p>
    <w:p>
      <w:pPr>
        <w:pStyle w:val="BodyText"/>
        <w:rPr>
          <w:rFonts w:ascii="Century Schoolbook"/>
          <w:sz w:val="28"/>
        </w:rPr>
      </w:pPr>
    </w:p>
    <w:p>
      <w:pPr>
        <w:pStyle w:val="BodyText"/>
        <w:rPr>
          <w:rFonts w:ascii="Century Schoolbook"/>
          <w:sz w:val="28"/>
        </w:rPr>
      </w:pPr>
    </w:p>
    <w:p>
      <w:pPr>
        <w:pStyle w:val="BodyText"/>
        <w:rPr>
          <w:rFonts w:ascii="Century Schoolbook"/>
          <w:sz w:val="28"/>
        </w:rPr>
      </w:pPr>
    </w:p>
    <w:p>
      <w:pPr>
        <w:pStyle w:val="BodyText"/>
        <w:rPr>
          <w:rFonts w:ascii="Century Schoolbook"/>
          <w:sz w:val="28"/>
        </w:rPr>
      </w:pPr>
    </w:p>
    <w:p>
      <w:pPr>
        <w:pStyle w:val="BodyText"/>
        <w:spacing w:before="216"/>
        <w:ind w:left="5093"/>
      </w:pPr>
      <w:r>
        <w:rPr/>
        <w:t>D. Paul Sullins, Ph.D</w:t>
      </w:r>
    </w:p>
    <w:p>
      <w:pPr>
        <w:pStyle w:val="BodyText"/>
        <w:ind w:left="4385"/>
      </w:pPr>
      <w:r>
        <w:rPr/>
        <w:t>The</w:t>
      </w:r>
      <w:r>
        <w:rPr>
          <w:spacing w:val="-3"/>
        </w:rPr>
        <w:t> </w:t>
      </w:r>
      <w:r>
        <w:rPr/>
        <w:t>Catholic University</w:t>
      </w:r>
      <w:r>
        <w:rPr>
          <w:spacing w:val="-4"/>
        </w:rPr>
        <w:t> </w:t>
      </w:r>
      <w:r>
        <w:rPr/>
        <w:t>of America</w:t>
      </w:r>
    </w:p>
    <w:p>
      <w:pPr>
        <w:pStyle w:val="BodyText"/>
      </w:pPr>
    </w:p>
    <w:p>
      <w:pPr>
        <w:pStyle w:val="BodyText"/>
        <w:ind w:left="2621" w:right="2563"/>
        <w:jc w:val="center"/>
      </w:pPr>
      <w:r>
        <w:rPr/>
        <w:t>Address</w:t>
      </w:r>
      <w:r>
        <w:rPr>
          <w:spacing w:val="-2"/>
        </w:rPr>
        <w:t> </w:t>
      </w:r>
      <w:r>
        <w:rPr/>
        <w:t>correspondence</w:t>
      </w:r>
      <w:r>
        <w:rPr>
          <w:spacing w:val="-1"/>
        </w:rPr>
        <w:t> </w:t>
      </w:r>
      <w:r>
        <w:rPr/>
        <w:t>to:</w:t>
      </w:r>
      <w:r>
        <w:rPr>
          <w:spacing w:val="-2"/>
        </w:rPr>
        <w:t> </w:t>
      </w:r>
      <w:r>
        <w:rPr/>
        <w:t>4303</w:t>
      </w:r>
      <w:r>
        <w:rPr>
          <w:spacing w:val="-2"/>
        </w:rPr>
        <w:t> </w:t>
      </w:r>
      <w:r>
        <w:rPr/>
        <w:t>Gallatin</w:t>
      </w:r>
      <w:r>
        <w:rPr>
          <w:spacing w:val="-2"/>
        </w:rPr>
        <w:t> </w:t>
      </w:r>
      <w:r>
        <w:rPr/>
        <w:t>Street,</w:t>
      </w:r>
      <w:r>
        <w:rPr>
          <w:spacing w:val="-2"/>
        </w:rPr>
        <w:t> </w:t>
      </w:r>
      <w:r>
        <w:rPr/>
        <w:t>Hyattsville,</w:t>
      </w:r>
      <w:r>
        <w:rPr>
          <w:spacing w:val="-2"/>
        </w:rPr>
        <w:t> </w:t>
      </w:r>
      <w:r>
        <w:rPr/>
        <w:t>MD</w:t>
      </w:r>
      <w:r>
        <w:rPr>
          <w:spacing w:val="-2"/>
        </w:rPr>
        <w:t> </w:t>
      </w:r>
      <w:r>
        <w:rPr/>
        <w:t>20781</w:t>
      </w:r>
      <w:r>
        <w:rPr>
          <w:spacing w:val="-57"/>
        </w:rPr>
        <w:t> </w:t>
      </w:r>
      <w:r>
        <w:rPr/>
        <w:t>Email:</w:t>
      </w:r>
      <w:r>
        <w:rPr>
          <w:spacing w:val="-1"/>
        </w:rPr>
        <w:t> </w:t>
      </w:r>
      <w:hyperlink r:id="rId6">
        <w:r>
          <w:rPr>
            <w:color w:val="0000FF"/>
            <w:u w:val="single" w:color="0000FF"/>
          </w:rPr>
          <w:t>sullins@cua.edu</w:t>
        </w:r>
      </w:hyperlink>
      <w:r>
        <w:rPr>
          <w:color w:val="0000FF"/>
        </w:rPr>
        <w:t>  </w:t>
      </w:r>
      <w:r>
        <w:rPr/>
        <w:t>Phone: 301-277-0938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720" w:lineRule="auto" w:before="232"/>
        <w:ind w:left="1440" w:right="4659" w:firstLine="3295"/>
      </w:pPr>
      <w:r>
        <w:rPr/>
        <w:t>Narrative Word Count: 2331</w:t>
      </w:r>
      <w:r>
        <w:rPr>
          <w:spacing w:val="-57"/>
        </w:rPr>
        <w:t> </w:t>
      </w:r>
      <w:r>
        <w:rPr/>
        <w:t>Keywords:</w:t>
      </w:r>
      <w:r>
        <w:rPr>
          <w:spacing w:val="-1"/>
        </w:rPr>
        <w:t> </w:t>
      </w:r>
      <w:r>
        <w:rPr/>
        <w:t>sexual orientation, therapy,</w:t>
      </w:r>
      <w:r>
        <w:rPr>
          <w:spacing w:val="-1"/>
        </w:rPr>
        <w:t> </w:t>
      </w:r>
      <w:r>
        <w:rPr/>
        <w:t>suicide,</w:t>
      </w:r>
      <w:r>
        <w:rPr>
          <w:spacing w:val="-1"/>
        </w:rPr>
        <w:t> </w:t>
      </w:r>
      <w:r>
        <w:rPr/>
        <w:t>SOCE</w:t>
      </w:r>
    </w:p>
    <w:p>
      <w:pPr>
        <w:spacing w:after="0" w:line="720" w:lineRule="auto"/>
        <w:sectPr>
          <w:footerReference w:type="default" r:id="rId5"/>
          <w:type w:val="continuous"/>
          <w:pgSz w:w="12240" w:h="15840"/>
          <w:pgMar w:footer="0" w:header="0" w:top="0" w:bottom="280" w:left="0" w:right="60"/>
          <w:pgNumType w:start="1"/>
        </w:sectPr>
      </w:pPr>
    </w:p>
    <w:p>
      <w:pPr>
        <w:tabs>
          <w:tab w:pos="6482" w:val="left" w:leader="none"/>
        </w:tabs>
        <w:spacing w:before="52"/>
        <w:ind w:left="100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7594600</wp:posOffset>
            </wp:positionH>
            <wp:positionV relativeFrom="paragraph">
              <wp:posOffset>75944</wp:posOffset>
            </wp:positionV>
            <wp:extent cx="68579" cy="762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Cover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Letter</w:t>
        <w:tab/>
      </w:r>
      <w:hyperlink r:id="rId8">
        <w:r>
          <w:rPr>
            <w:rFonts w:ascii="Arial"/>
            <w:color w:val="003399"/>
            <w:sz w:val="20"/>
          </w:rPr>
          <w:t>Click</w:t>
        </w:r>
        <w:r>
          <w:rPr>
            <w:rFonts w:ascii="Arial"/>
            <w:color w:val="003399"/>
            <w:spacing w:val="-9"/>
            <w:sz w:val="20"/>
          </w:rPr>
          <w:t> </w:t>
        </w:r>
        <w:r>
          <w:rPr>
            <w:rFonts w:ascii="Arial"/>
            <w:color w:val="003399"/>
            <w:sz w:val="20"/>
          </w:rPr>
          <w:t>here</w:t>
        </w:r>
        <w:r>
          <w:rPr>
            <w:rFonts w:ascii="Arial"/>
            <w:color w:val="003399"/>
            <w:spacing w:val="-9"/>
            <w:sz w:val="20"/>
          </w:rPr>
          <w:t> </w:t>
        </w:r>
        <w:r>
          <w:rPr>
            <w:rFonts w:ascii="Arial"/>
            <w:color w:val="003399"/>
            <w:sz w:val="20"/>
          </w:rPr>
          <w:t>to</w:t>
        </w:r>
        <w:r>
          <w:rPr>
            <w:rFonts w:ascii="Arial"/>
            <w:color w:val="003399"/>
            <w:spacing w:val="-9"/>
            <w:sz w:val="20"/>
          </w:rPr>
          <w:t> </w:t>
        </w:r>
        <w:r>
          <w:rPr>
            <w:rFonts w:ascii="Arial"/>
            <w:color w:val="003399"/>
            <w:sz w:val="20"/>
          </w:rPr>
          <w:t>access/download;Cover</w:t>
        </w:r>
        <w:r>
          <w:rPr>
            <w:rFonts w:ascii="Arial"/>
            <w:color w:val="003399"/>
            <w:spacing w:val="-10"/>
            <w:sz w:val="20"/>
          </w:rPr>
          <w:t> </w:t>
        </w:r>
        <w:r>
          <w:rPr>
            <w:rFonts w:ascii="Arial"/>
            <w:color w:val="003399"/>
            <w:sz w:val="20"/>
          </w:rPr>
          <w:t>Letter;cover</w:t>
        </w:r>
        <w:r>
          <w:rPr>
            <w:rFonts w:ascii="Arial"/>
            <w:color w:val="003399"/>
            <w:spacing w:val="-9"/>
            <w:sz w:val="20"/>
          </w:rPr>
          <w:t> </w:t>
        </w:r>
        <w:r>
          <w:rPr>
            <w:rFonts w:ascii="Arial"/>
            <w:color w:val="003399"/>
            <w:sz w:val="20"/>
          </w:rPr>
          <w:t>letter.docx</w:t>
        </w:r>
      </w:hyperlink>
    </w:p>
    <w:p>
      <w:pPr>
        <w:pStyle w:val="BodyText"/>
        <w:spacing w:before="9"/>
        <w:rPr>
          <w:rFonts w:ascii="Arial"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1626738</wp:posOffset>
            </wp:positionH>
            <wp:positionV relativeFrom="paragraph">
              <wp:posOffset>218567</wp:posOffset>
            </wp:positionV>
            <wp:extent cx="3854686" cy="156876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4686" cy="1568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199"/>
        <w:ind w:left="540"/>
      </w:pPr>
      <w:r>
        <w:rPr/>
        <w:t>September</w:t>
      </w:r>
      <w:r>
        <w:rPr>
          <w:spacing w:val="-1"/>
        </w:rPr>
        <w:t> </w:t>
      </w:r>
      <w:r>
        <w:rPr/>
        <w:t>14,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spacing w:before="6"/>
      </w:pPr>
    </w:p>
    <w:p>
      <w:pPr>
        <w:pStyle w:val="Heading1"/>
        <w:spacing w:line="274" w:lineRule="exact" w:before="0"/>
        <w:ind w:left="540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Editor</w:t>
      </w:r>
    </w:p>
    <w:p>
      <w:pPr>
        <w:spacing w:line="274" w:lineRule="exact" w:before="0"/>
        <w:ind w:left="540" w:right="0" w:firstLine="0"/>
        <w:jc w:val="left"/>
        <w:rPr>
          <w:i/>
          <w:sz w:val="24"/>
        </w:rPr>
      </w:pPr>
      <w:r>
        <w:rPr>
          <w:i/>
          <w:sz w:val="24"/>
        </w:rPr>
        <w:t>American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Public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Health</w:t>
      </w:r>
    </w:p>
    <w:p>
      <w:pPr>
        <w:pStyle w:val="BodyText"/>
        <w:spacing w:line="480" w:lineRule="auto"/>
        <w:ind w:left="540" w:right="7653"/>
      </w:pPr>
      <w:r>
        <w:rPr/>
        <w:t>Transmitted</w:t>
      </w:r>
      <w:r>
        <w:rPr>
          <w:spacing w:val="-5"/>
        </w:rPr>
        <w:t> </w:t>
      </w:r>
      <w:r>
        <w:rPr/>
        <w:t>online</w:t>
      </w:r>
      <w:r>
        <w:rPr>
          <w:spacing w:val="-6"/>
        </w:rPr>
        <w:t> </w:t>
      </w:r>
      <w:r>
        <w:rPr/>
        <w:t>via</w:t>
      </w:r>
      <w:r>
        <w:rPr>
          <w:spacing w:val="-5"/>
        </w:rPr>
        <w:t> </w:t>
      </w:r>
      <w:r>
        <w:rPr/>
        <w:t>Editorial</w:t>
      </w:r>
      <w:r>
        <w:rPr>
          <w:spacing w:val="-3"/>
        </w:rPr>
        <w:t> </w:t>
      </w:r>
      <w:r>
        <w:rPr/>
        <w:t>Manager</w:t>
      </w:r>
      <w:r>
        <w:rPr>
          <w:spacing w:val="-57"/>
        </w:rPr>
        <w:t> </w:t>
      </w:r>
      <w:r>
        <w:rPr/>
        <w:t>Dear</w:t>
      </w:r>
      <w:r>
        <w:rPr>
          <w:spacing w:val="-2"/>
        </w:rPr>
        <w:t> </w:t>
      </w:r>
      <w:r>
        <w:rPr/>
        <w:t>Editor,</w:t>
      </w:r>
    </w:p>
    <w:p>
      <w:pPr>
        <w:pStyle w:val="BodyText"/>
        <w:ind w:left="540" w:right="1408"/>
      </w:pPr>
      <w:r>
        <w:rPr/>
        <w:t>With this letter I am submitting a commentary titled “Sexual Orientation Change Efforts (SOCE) Strongly</w:t>
      </w:r>
      <w:r>
        <w:rPr>
          <w:spacing w:val="-58"/>
        </w:rPr>
        <w:t> </w:t>
      </w:r>
      <w:r>
        <w:rPr/>
        <w:t>Reduce Suicidality” on the study: Sexual Orientation Change Efforts, Adverse Childhood Experiences,</w:t>
      </w:r>
      <w:r>
        <w:rPr>
          <w:spacing w:val="1"/>
        </w:rPr>
        <w:t> </w:t>
      </w:r>
      <w:r>
        <w:rPr/>
        <w:t>and Suicide Ideation and Attempt among Sexual Minority Adults, United States, 2016-2018, Blosnich et</w:t>
      </w:r>
      <w:r>
        <w:rPr>
          <w:spacing w:val="1"/>
        </w:rPr>
        <w:t> </w:t>
      </w:r>
      <w:r>
        <w:rPr/>
        <w:t>al.,</w:t>
      </w:r>
      <w:r>
        <w:rPr>
          <w:spacing w:val="-1"/>
        </w:rPr>
        <w:t> </w:t>
      </w:r>
      <w:r>
        <w:rPr/>
        <w:t>American Journal of</w:t>
      </w:r>
      <w:r>
        <w:rPr>
          <w:spacing w:val="1"/>
        </w:rPr>
        <w:t> </w:t>
      </w:r>
      <w:r>
        <w:rPr/>
        <w:t>Public</w:t>
      </w:r>
      <w:r>
        <w:rPr>
          <w:spacing w:val="-1"/>
        </w:rPr>
        <w:t> </w:t>
      </w:r>
      <w:r>
        <w:rPr/>
        <w:t>Health</w:t>
      </w:r>
      <w:r>
        <w:rPr>
          <w:spacing w:val="2"/>
        </w:rPr>
        <w:t> </w:t>
      </w:r>
      <w:r>
        <w:rPr/>
        <w:t>110 (July</w:t>
      </w:r>
      <w:r>
        <w:rPr>
          <w:spacing w:val="-8"/>
        </w:rPr>
        <w:t> </w:t>
      </w:r>
      <w:r>
        <w:rPr/>
        <w:t>2020):1024–1030</w:t>
      </w:r>
    </w:p>
    <w:p>
      <w:pPr>
        <w:pStyle w:val="BodyText"/>
      </w:pPr>
    </w:p>
    <w:p>
      <w:pPr>
        <w:pStyle w:val="BodyText"/>
        <w:ind w:left="540" w:right="1562"/>
      </w:pPr>
      <w:r>
        <w:rPr/>
        <w:t>Many</w:t>
      </w:r>
      <w:r>
        <w:rPr>
          <w:spacing w:val="-6"/>
        </w:rPr>
        <w:t> </w:t>
      </w:r>
      <w:r>
        <w:rPr/>
        <w:t>journals</w:t>
      </w:r>
      <w:r>
        <w:rPr>
          <w:spacing w:val="-1"/>
        </w:rPr>
        <w:t> </w:t>
      </w:r>
      <w:r>
        <w:rPr/>
        <w:t>employ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abbreviated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at least</w:t>
      </w:r>
      <w:r>
        <w:rPr>
          <w:spacing w:val="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method of</w:t>
      </w:r>
      <w:r>
        <w:rPr>
          <w:spacing w:val="-1"/>
        </w:rPr>
        <w:t> </w:t>
      </w:r>
      <w:r>
        <w:rPr/>
        <w:t>evaluation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comments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letters</w:t>
      </w:r>
      <w:r>
        <w:rPr>
          <w:spacing w:val="-1"/>
        </w:rPr>
        <w:t> </w:t>
      </w:r>
      <w:r>
        <w:rPr/>
        <w:t>to</w:t>
      </w:r>
      <w:r>
        <w:rPr>
          <w:spacing w:val="-57"/>
        </w:rPr>
        <w:t> </w:t>
      </w:r>
      <w:r>
        <w:rPr/>
        <w:t>the editor such as this.</w:t>
      </w:r>
      <w:r>
        <w:rPr>
          <w:spacing w:val="1"/>
        </w:rPr>
        <w:t> </w:t>
      </w:r>
      <w:r>
        <w:rPr/>
        <w:t>I have submitted it via Editorial Manager, but if you prefer it submitted in some</w:t>
      </w:r>
      <w:r>
        <w:rPr>
          <w:spacing w:val="1"/>
        </w:rPr>
        <w:t> </w:t>
      </w:r>
      <w:r>
        <w:rPr/>
        <w:t>other</w:t>
      </w:r>
      <w:r>
        <w:rPr>
          <w:spacing w:val="-3"/>
        </w:rPr>
        <w:t> </w:t>
      </w:r>
      <w:r>
        <w:rPr/>
        <w:t>fashion, please</w:t>
      </w:r>
      <w:r>
        <w:rPr>
          <w:spacing w:val="-1"/>
        </w:rPr>
        <w:t> </w:t>
      </w:r>
      <w:r>
        <w:rPr/>
        <w:t>let</w:t>
      </w:r>
      <w:r>
        <w:rPr>
          <w:spacing w:val="2"/>
        </w:rPr>
        <w:t> </w:t>
      </w:r>
      <w:r>
        <w:rPr/>
        <w:t>me know.</w:t>
      </w:r>
    </w:p>
    <w:p>
      <w:pPr>
        <w:pStyle w:val="BodyText"/>
      </w:pPr>
    </w:p>
    <w:p>
      <w:pPr>
        <w:pStyle w:val="BodyText"/>
        <w:spacing w:before="1"/>
        <w:ind w:left="540" w:right="1408"/>
      </w:pPr>
      <w:r>
        <w:rPr/>
        <w:t>I think I have conformed to the manuscript submission requirements and format of your journal, but if I</w:t>
      </w:r>
      <w:r>
        <w:rPr>
          <w:spacing w:val="1"/>
        </w:rPr>
        <w:t> </w:t>
      </w:r>
      <w:r>
        <w:rPr/>
        <w:t>have missed anything, please let me know and I will correct it.</w:t>
      </w:r>
      <w:r>
        <w:rPr>
          <w:spacing w:val="1"/>
        </w:rPr>
        <w:t> </w:t>
      </w:r>
      <w:r>
        <w:rPr/>
        <w:t>Your journal presents many different</w:t>
      </w:r>
      <w:r>
        <w:rPr>
          <w:spacing w:val="1"/>
        </w:rPr>
        <w:t> </w:t>
      </w:r>
      <w:r>
        <w:rPr/>
        <w:t>submission</w:t>
      </w:r>
      <w:r>
        <w:rPr>
          <w:spacing w:val="-1"/>
        </w:rPr>
        <w:t> </w:t>
      </w:r>
      <w:r>
        <w:rPr/>
        <w:t>formats and options.</w:t>
      </w:r>
      <w:r>
        <w:rPr>
          <w:spacing w:val="2"/>
        </w:rPr>
        <w:t> </w:t>
      </w:r>
      <w:r>
        <w:rPr/>
        <w:t>I</w:t>
      </w:r>
      <w:r>
        <w:rPr>
          <w:spacing w:val="-6"/>
        </w:rPr>
        <w:t> </w:t>
      </w:r>
      <w:r>
        <w:rPr/>
        <w:t>have</w:t>
      </w:r>
      <w:r>
        <w:rPr>
          <w:spacing w:val="-2"/>
        </w:rPr>
        <w:t> </w:t>
      </w:r>
      <w:r>
        <w:rPr/>
        <w:t>chosen the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seems most appropriate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this short focused</w:t>
      </w:r>
      <w:r>
        <w:rPr>
          <w:spacing w:val="-57"/>
        </w:rPr>
        <w:t> </w:t>
      </w:r>
      <w:r>
        <w:rPr/>
        <w:t>study,</w:t>
      </w:r>
      <w:r>
        <w:rPr>
          <w:spacing w:val="-1"/>
        </w:rPr>
        <w:t> </w:t>
      </w:r>
      <w:r>
        <w:rPr/>
        <w:t>but if</w:t>
      </w:r>
      <w:r>
        <w:rPr>
          <w:spacing w:val="3"/>
        </w:rPr>
        <w:t> </w:t>
      </w:r>
      <w:r>
        <w:rPr/>
        <w:t>you</w:t>
      </w:r>
      <w:r>
        <w:rPr>
          <w:spacing w:val="-1"/>
        </w:rPr>
        <w:t> </w:t>
      </w:r>
      <w:r>
        <w:rPr/>
        <w:t>prefer the</w:t>
      </w:r>
      <w:r>
        <w:rPr>
          <w:spacing w:val="-1"/>
        </w:rPr>
        <w:t> </w:t>
      </w:r>
      <w:r>
        <w:rPr/>
        <w:t>article</w:t>
      </w:r>
      <w:r>
        <w:rPr>
          <w:spacing w:val="-1"/>
        </w:rPr>
        <w:t> </w:t>
      </w:r>
      <w:r>
        <w:rPr/>
        <w:t>in a</w:t>
      </w:r>
      <w:r>
        <w:rPr>
          <w:spacing w:val="-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format length or</w:t>
      </w:r>
      <w:r>
        <w:rPr>
          <w:spacing w:val="-1"/>
        </w:rPr>
        <w:t> </w:t>
      </w:r>
      <w:r>
        <w:rPr/>
        <w:t>style, just let</w:t>
      </w:r>
      <w:r>
        <w:rPr>
          <w:spacing w:val="-1"/>
        </w:rPr>
        <w:t> </w:t>
      </w:r>
      <w:r>
        <w:rPr/>
        <w:t>me know.</w:t>
      </w:r>
    </w:p>
    <w:p>
      <w:pPr>
        <w:pStyle w:val="BodyText"/>
      </w:pPr>
    </w:p>
    <w:p>
      <w:pPr>
        <w:pStyle w:val="BodyText"/>
        <w:ind w:left="540"/>
      </w:pPr>
      <w:r>
        <w:rPr/>
        <w:t>Sincerely</w:t>
      </w:r>
      <w:r>
        <w:rPr>
          <w:spacing w:val="-3"/>
        </w:rPr>
        <w:t> </w:t>
      </w:r>
      <w:r>
        <w:rPr/>
        <w:t>yours,</w:t>
      </w:r>
    </w:p>
    <w:p>
      <w:pPr>
        <w:pStyle w:val="BodyText"/>
        <w:spacing w:before="10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593612</wp:posOffset>
            </wp:positionH>
            <wp:positionV relativeFrom="paragraph">
              <wp:posOffset>80097</wp:posOffset>
            </wp:positionV>
            <wp:extent cx="1063172" cy="499871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172" cy="499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7"/>
        <w:ind w:left="540" w:right="9520"/>
      </w:pPr>
      <w:r>
        <w:rPr/>
        <w:t>D.</w:t>
      </w:r>
      <w:r>
        <w:rPr>
          <w:spacing w:val="-5"/>
        </w:rPr>
        <w:t> </w:t>
      </w:r>
      <w:r>
        <w:rPr/>
        <w:t>Paul</w:t>
      </w:r>
      <w:r>
        <w:rPr>
          <w:spacing w:val="-4"/>
        </w:rPr>
        <w:t> </w:t>
      </w:r>
      <w:r>
        <w:rPr/>
        <w:t>Sullins,</w:t>
      </w:r>
      <w:r>
        <w:rPr>
          <w:spacing w:val="-4"/>
        </w:rPr>
        <w:t> </w:t>
      </w:r>
      <w:r>
        <w:rPr/>
        <w:t>Ph.D.</w:t>
      </w:r>
    </w:p>
    <w:p>
      <w:pPr>
        <w:pStyle w:val="BodyText"/>
        <w:ind w:left="540" w:right="9520"/>
      </w:pPr>
      <w:r>
        <w:rPr/>
        <w:t>Research</w:t>
      </w:r>
      <w:r>
        <w:rPr>
          <w:spacing w:val="-3"/>
        </w:rPr>
        <w:t> </w:t>
      </w:r>
      <w:r>
        <w:rPr/>
        <w:t>Professor</w:t>
      </w:r>
    </w:p>
    <w:p>
      <w:pPr>
        <w:pStyle w:val="BodyText"/>
        <w:ind w:left="540"/>
      </w:pPr>
      <w:r>
        <w:rPr/>
        <w:t>Catholic</w:t>
      </w:r>
      <w:r>
        <w:rPr>
          <w:spacing w:val="-1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of America</w:t>
      </w:r>
    </w:p>
    <w:p>
      <w:pPr>
        <w:spacing w:after="0"/>
        <w:sectPr>
          <w:pgSz w:w="12240" w:h="15840"/>
          <w:pgMar w:header="0" w:footer="0" w:top="0" w:bottom="280" w:left="0" w:right="60"/>
        </w:sectPr>
      </w:pPr>
    </w:p>
    <w:p>
      <w:pPr>
        <w:tabs>
          <w:tab w:pos="6119" w:val="left" w:leader="none"/>
        </w:tabs>
        <w:spacing w:line="208" w:lineRule="auto" w:before="76"/>
        <w:ind w:left="6120" w:right="604" w:hanging="602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7594600</wp:posOffset>
            </wp:positionH>
            <wp:positionV relativeFrom="paragraph">
              <wp:posOffset>75698</wp:posOffset>
            </wp:positionV>
            <wp:extent cx="68579" cy="76200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0"/>
        </w:rPr>
        <w:t>Manuscript</w:t>
        <w:tab/>
      </w:r>
      <w:hyperlink r:id="rId11">
        <w:r>
          <w:rPr>
            <w:rFonts w:ascii="Arial"/>
            <w:color w:val="003399"/>
            <w:sz w:val="20"/>
          </w:rPr>
          <w:t>Click</w:t>
        </w:r>
        <w:r>
          <w:rPr>
            <w:rFonts w:ascii="Arial"/>
            <w:color w:val="003399"/>
            <w:spacing w:val="-9"/>
            <w:sz w:val="20"/>
          </w:rPr>
          <w:t> </w:t>
        </w:r>
        <w:r>
          <w:rPr>
            <w:rFonts w:ascii="Arial"/>
            <w:color w:val="003399"/>
            <w:sz w:val="20"/>
          </w:rPr>
          <w:t>here</w:t>
        </w:r>
        <w:r>
          <w:rPr>
            <w:rFonts w:ascii="Arial"/>
            <w:color w:val="003399"/>
            <w:spacing w:val="-9"/>
            <w:sz w:val="20"/>
          </w:rPr>
          <w:t> </w:t>
        </w:r>
        <w:r>
          <w:rPr>
            <w:rFonts w:ascii="Arial"/>
            <w:color w:val="003399"/>
            <w:sz w:val="20"/>
          </w:rPr>
          <w:t>to</w:t>
        </w:r>
        <w:r>
          <w:rPr>
            <w:rFonts w:ascii="Arial"/>
            <w:color w:val="003399"/>
            <w:spacing w:val="-9"/>
            <w:sz w:val="20"/>
          </w:rPr>
          <w:t> </w:t>
        </w:r>
        <w:r>
          <w:rPr>
            <w:rFonts w:ascii="Arial"/>
            <w:color w:val="003399"/>
            <w:sz w:val="20"/>
          </w:rPr>
          <w:t>access/download;Manuscript;Suicide</w:t>
        </w:r>
        <w:r>
          <w:rPr>
            <w:rFonts w:ascii="Arial"/>
            <w:color w:val="003399"/>
            <w:spacing w:val="-9"/>
            <w:sz w:val="20"/>
          </w:rPr>
          <w:t> </w:t>
        </w:r>
        <w:r>
          <w:rPr>
            <w:rFonts w:ascii="Arial"/>
            <w:color w:val="003399"/>
            <w:sz w:val="20"/>
          </w:rPr>
          <w:t>and</w:t>
        </w:r>
        <w:r>
          <w:rPr>
            <w:rFonts w:ascii="Arial"/>
            <w:color w:val="003399"/>
            <w:spacing w:val="-9"/>
            <w:sz w:val="20"/>
          </w:rPr>
          <w:t> </w:t>
        </w:r>
        <w:r>
          <w:rPr>
            <w:rFonts w:ascii="Arial"/>
            <w:color w:val="003399"/>
            <w:sz w:val="20"/>
          </w:rPr>
          <w:t>SOCE</w:t>
        </w:r>
        <w:r>
          <w:rPr>
            <w:rFonts w:ascii="Arial"/>
            <w:color w:val="003399"/>
            <w:spacing w:val="-53"/>
            <w:sz w:val="20"/>
          </w:rPr>
          <w:t> </w:t>
        </w:r>
        <w:r>
          <w:rPr>
            <w:rFonts w:ascii="Arial"/>
            <w:color w:val="003399"/>
            <w:sz w:val="20"/>
          </w:rPr>
          <w:t>091420.docx</w:t>
        </w:r>
      </w:hyperlink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5"/>
        </w:rPr>
      </w:pPr>
    </w:p>
    <w:p>
      <w:pPr>
        <w:spacing w:before="100"/>
        <w:ind w:left="1666" w:right="1605" w:firstLine="0"/>
        <w:jc w:val="center"/>
        <w:rPr>
          <w:rFonts w:ascii="Century Schoolbook"/>
          <w:sz w:val="24"/>
        </w:rPr>
      </w:pPr>
      <w:r>
        <w:rPr>
          <w:rFonts w:ascii="Century Schoolbook"/>
          <w:spacing w:val="-1"/>
          <w:sz w:val="24"/>
        </w:rPr>
        <w:t>S</w:t>
      </w:r>
      <w:r>
        <w:rPr>
          <w:rFonts w:ascii="Century Schoolbook"/>
          <w:spacing w:val="-1"/>
          <w:sz w:val="19"/>
        </w:rPr>
        <w:t>EXUAL</w:t>
      </w:r>
      <w:r>
        <w:rPr>
          <w:rFonts w:ascii="Century Schoolbook"/>
          <w:spacing w:val="-2"/>
          <w:sz w:val="19"/>
        </w:rPr>
        <w:t> </w:t>
      </w:r>
      <w:r>
        <w:rPr>
          <w:rFonts w:ascii="Century Schoolbook"/>
          <w:spacing w:val="-1"/>
          <w:sz w:val="24"/>
        </w:rPr>
        <w:t>O</w:t>
      </w:r>
      <w:r>
        <w:rPr>
          <w:rFonts w:ascii="Century Schoolbook"/>
          <w:spacing w:val="-1"/>
          <w:sz w:val="19"/>
        </w:rPr>
        <w:t>RIENTATION</w:t>
      </w:r>
      <w:r>
        <w:rPr>
          <w:rFonts w:ascii="Century Schoolbook"/>
          <w:sz w:val="19"/>
        </w:rPr>
        <w:t> </w:t>
      </w:r>
      <w:r>
        <w:rPr>
          <w:rFonts w:ascii="Century Schoolbook"/>
          <w:sz w:val="24"/>
        </w:rPr>
        <w:t>C</w:t>
      </w:r>
      <w:r>
        <w:rPr>
          <w:rFonts w:ascii="Century Schoolbook"/>
          <w:sz w:val="19"/>
        </w:rPr>
        <w:t>HANGE</w:t>
      </w:r>
      <w:r>
        <w:rPr>
          <w:rFonts w:ascii="Century Schoolbook"/>
          <w:spacing w:val="-2"/>
          <w:sz w:val="19"/>
        </w:rPr>
        <w:t> </w:t>
      </w:r>
      <w:r>
        <w:rPr>
          <w:rFonts w:ascii="Century Schoolbook"/>
          <w:sz w:val="24"/>
        </w:rPr>
        <w:t>E</w:t>
      </w:r>
      <w:r>
        <w:rPr>
          <w:rFonts w:ascii="Century Schoolbook"/>
          <w:sz w:val="19"/>
        </w:rPr>
        <w:t>FFORTS </w:t>
      </w:r>
      <w:r>
        <w:rPr>
          <w:rFonts w:ascii="Century Schoolbook"/>
          <w:sz w:val="24"/>
        </w:rPr>
        <w:t>(SOCE)</w:t>
      </w:r>
      <w:r>
        <w:rPr>
          <w:rFonts w:ascii="Century Schoolbook"/>
          <w:spacing w:val="-17"/>
          <w:sz w:val="24"/>
        </w:rPr>
        <w:t> </w:t>
      </w:r>
      <w:r>
        <w:rPr>
          <w:rFonts w:ascii="Century Schoolbook"/>
          <w:sz w:val="19"/>
        </w:rPr>
        <w:t>AND</w:t>
      </w:r>
      <w:r>
        <w:rPr>
          <w:rFonts w:ascii="Century Schoolbook"/>
          <w:spacing w:val="-3"/>
          <w:sz w:val="19"/>
        </w:rPr>
        <w:t> </w:t>
      </w:r>
      <w:r>
        <w:rPr>
          <w:rFonts w:ascii="Century Schoolbook"/>
          <w:sz w:val="24"/>
        </w:rPr>
        <w:t>S</w:t>
      </w:r>
      <w:r>
        <w:rPr>
          <w:rFonts w:ascii="Century Schoolbook"/>
          <w:sz w:val="19"/>
        </w:rPr>
        <w:t>UICIDALITY</w:t>
      </w:r>
      <w:r>
        <w:rPr>
          <w:rFonts w:ascii="Century Schoolbook"/>
          <w:sz w:val="24"/>
        </w:rPr>
        <w:t>:</w:t>
      </w:r>
    </w:p>
    <w:p>
      <w:pPr>
        <w:spacing w:before="2"/>
        <w:ind w:left="1668" w:right="1605" w:firstLine="0"/>
        <w:jc w:val="center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pacing w:val="-1"/>
          <w:sz w:val="24"/>
        </w:rPr>
        <w:t>A C</w:t>
      </w:r>
      <w:r>
        <w:rPr>
          <w:rFonts w:ascii="Century Schoolbook" w:hAnsi="Century Schoolbook"/>
          <w:spacing w:val="-1"/>
          <w:sz w:val="19"/>
        </w:rPr>
        <w:t>OMMENTARY ON </w:t>
      </w:r>
      <w:r>
        <w:rPr>
          <w:rFonts w:ascii="Century Schoolbook" w:hAnsi="Century Schoolbook"/>
          <w:spacing w:val="-1"/>
          <w:sz w:val="24"/>
        </w:rPr>
        <w:t>B</w:t>
      </w:r>
      <w:r>
        <w:rPr>
          <w:rFonts w:ascii="Century Schoolbook" w:hAnsi="Century Schoolbook"/>
          <w:spacing w:val="-1"/>
          <w:sz w:val="19"/>
        </w:rPr>
        <w:t>LOSNICH ET AL</w:t>
      </w:r>
      <w:r>
        <w:rPr>
          <w:rFonts w:ascii="Century Schoolbook" w:hAnsi="Century Schoolbook"/>
          <w:spacing w:val="-1"/>
          <w:sz w:val="24"/>
        </w:rPr>
        <w:t>., “S</w:t>
      </w:r>
      <w:r>
        <w:rPr>
          <w:rFonts w:ascii="Century Schoolbook" w:hAnsi="Century Schoolbook"/>
          <w:spacing w:val="-1"/>
          <w:sz w:val="19"/>
        </w:rPr>
        <w:t>EXUAL </w:t>
      </w:r>
      <w:r>
        <w:rPr>
          <w:rFonts w:ascii="Century Schoolbook" w:hAnsi="Century Schoolbook"/>
          <w:sz w:val="24"/>
        </w:rPr>
        <w:t>O</w:t>
      </w:r>
      <w:r>
        <w:rPr>
          <w:rFonts w:ascii="Century Schoolbook" w:hAnsi="Century Schoolbook"/>
          <w:sz w:val="19"/>
        </w:rPr>
        <w:t>RIENTATION </w:t>
      </w:r>
      <w:r>
        <w:rPr>
          <w:rFonts w:ascii="Century Schoolbook" w:hAnsi="Century Schoolbook"/>
          <w:sz w:val="24"/>
        </w:rPr>
        <w:t>C</w:t>
      </w:r>
      <w:r>
        <w:rPr>
          <w:rFonts w:ascii="Century Schoolbook" w:hAnsi="Century Schoolbook"/>
          <w:sz w:val="19"/>
        </w:rPr>
        <w:t>HANGE </w:t>
      </w:r>
      <w:r>
        <w:rPr>
          <w:rFonts w:ascii="Century Schoolbook" w:hAnsi="Century Schoolbook"/>
          <w:sz w:val="24"/>
        </w:rPr>
        <w:t>E</w:t>
      </w:r>
      <w:r>
        <w:rPr>
          <w:rFonts w:ascii="Century Schoolbook" w:hAnsi="Century Schoolbook"/>
          <w:sz w:val="19"/>
        </w:rPr>
        <w:t>FFORTS</w:t>
      </w:r>
      <w:r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pacing w:val="1"/>
          <w:sz w:val="24"/>
        </w:rPr>
        <w:t> </w:t>
      </w:r>
      <w:r>
        <w:rPr>
          <w:rFonts w:ascii="Century Schoolbook" w:hAnsi="Century Schoolbook"/>
          <w:spacing w:val="-1"/>
          <w:sz w:val="24"/>
        </w:rPr>
        <w:t>A</w:t>
      </w:r>
      <w:r>
        <w:rPr>
          <w:rFonts w:ascii="Century Schoolbook" w:hAnsi="Century Schoolbook"/>
          <w:spacing w:val="-1"/>
          <w:sz w:val="19"/>
        </w:rPr>
        <w:t>DVERSE </w:t>
      </w:r>
      <w:r>
        <w:rPr>
          <w:rFonts w:ascii="Century Schoolbook" w:hAnsi="Century Schoolbook"/>
          <w:spacing w:val="-1"/>
          <w:sz w:val="24"/>
        </w:rPr>
        <w:t>C</w:t>
      </w:r>
      <w:r>
        <w:rPr>
          <w:rFonts w:ascii="Century Schoolbook" w:hAnsi="Century Schoolbook"/>
          <w:spacing w:val="-1"/>
          <w:sz w:val="19"/>
        </w:rPr>
        <w:t>HILDHOOD </w:t>
      </w:r>
      <w:r>
        <w:rPr>
          <w:rFonts w:ascii="Century Schoolbook" w:hAnsi="Century Schoolbook"/>
          <w:sz w:val="24"/>
        </w:rPr>
        <w:t>E</w:t>
      </w:r>
      <w:r>
        <w:rPr>
          <w:rFonts w:ascii="Century Schoolbook" w:hAnsi="Century Schoolbook"/>
          <w:sz w:val="19"/>
        </w:rPr>
        <w:t>XPERIENCES</w:t>
      </w:r>
      <w:r>
        <w:rPr>
          <w:rFonts w:ascii="Century Schoolbook" w:hAnsi="Century Schoolbook"/>
          <w:sz w:val="24"/>
        </w:rPr>
        <w:t>, </w:t>
      </w:r>
      <w:r>
        <w:rPr>
          <w:rFonts w:ascii="Century Schoolbook" w:hAnsi="Century Schoolbook"/>
          <w:sz w:val="19"/>
        </w:rPr>
        <w:t>AND </w:t>
      </w:r>
      <w:r>
        <w:rPr>
          <w:rFonts w:ascii="Century Schoolbook" w:hAnsi="Century Schoolbook"/>
          <w:sz w:val="24"/>
        </w:rPr>
        <w:t>S</w:t>
      </w:r>
      <w:r>
        <w:rPr>
          <w:rFonts w:ascii="Century Schoolbook" w:hAnsi="Century Schoolbook"/>
          <w:sz w:val="19"/>
        </w:rPr>
        <w:t>UICIDE </w:t>
      </w:r>
      <w:r>
        <w:rPr>
          <w:rFonts w:ascii="Century Schoolbook" w:hAnsi="Century Schoolbook"/>
          <w:sz w:val="24"/>
        </w:rPr>
        <w:t>I</w:t>
      </w:r>
      <w:r>
        <w:rPr>
          <w:rFonts w:ascii="Century Schoolbook" w:hAnsi="Century Schoolbook"/>
          <w:sz w:val="19"/>
        </w:rPr>
        <w:t>DEATION AND </w:t>
      </w:r>
      <w:r>
        <w:rPr>
          <w:rFonts w:ascii="Century Schoolbook" w:hAnsi="Century Schoolbook"/>
          <w:sz w:val="24"/>
        </w:rPr>
        <w:t>A</w:t>
      </w:r>
      <w:r>
        <w:rPr>
          <w:rFonts w:ascii="Century Schoolbook" w:hAnsi="Century Schoolbook"/>
          <w:sz w:val="19"/>
        </w:rPr>
        <w:t>TTEMPT </w:t>
      </w:r>
      <w:r>
        <w:rPr>
          <w:rFonts w:ascii="Century Schoolbook" w:hAnsi="Century Schoolbook"/>
          <w:sz w:val="24"/>
        </w:rPr>
        <w:t>A</w:t>
      </w:r>
      <w:r>
        <w:rPr>
          <w:rFonts w:ascii="Century Schoolbook" w:hAnsi="Century Schoolbook"/>
          <w:sz w:val="19"/>
        </w:rPr>
        <w:t>MONG</w:t>
      </w:r>
      <w:r>
        <w:rPr>
          <w:rFonts w:ascii="Century Schoolbook" w:hAnsi="Century Schoolbook"/>
          <w:spacing w:val="1"/>
          <w:sz w:val="19"/>
        </w:rPr>
        <w:t> </w:t>
      </w:r>
      <w:r>
        <w:rPr>
          <w:rFonts w:ascii="Century Schoolbook" w:hAnsi="Century Schoolbook"/>
          <w:spacing w:val="-1"/>
          <w:sz w:val="24"/>
        </w:rPr>
        <w:t>S</w:t>
      </w:r>
      <w:r>
        <w:rPr>
          <w:rFonts w:ascii="Century Schoolbook" w:hAnsi="Century Schoolbook"/>
          <w:spacing w:val="-1"/>
          <w:sz w:val="19"/>
        </w:rPr>
        <w:t>EXUAL</w:t>
      </w:r>
      <w:r>
        <w:rPr>
          <w:rFonts w:ascii="Century Schoolbook" w:hAnsi="Century Schoolbook"/>
          <w:spacing w:val="-2"/>
          <w:sz w:val="19"/>
        </w:rPr>
        <w:t> </w:t>
      </w:r>
      <w:r>
        <w:rPr>
          <w:rFonts w:ascii="Century Schoolbook" w:hAnsi="Century Schoolbook"/>
          <w:spacing w:val="-1"/>
          <w:sz w:val="24"/>
        </w:rPr>
        <w:t>M</w:t>
      </w:r>
      <w:r>
        <w:rPr>
          <w:rFonts w:ascii="Century Schoolbook" w:hAnsi="Century Schoolbook"/>
          <w:spacing w:val="-1"/>
          <w:sz w:val="19"/>
        </w:rPr>
        <w:t>INORITY</w:t>
      </w:r>
      <w:r>
        <w:rPr>
          <w:rFonts w:ascii="Century Schoolbook" w:hAnsi="Century Schoolbook"/>
          <w:sz w:val="19"/>
        </w:rPr>
        <w:t> </w:t>
      </w:r>
      <w:r>
        <w:rPr>
          <w:rFonts w:ascii="Century Schoolbook" w:hAnsi="Century Schoolbook"/>
          <w:spacing w:val="-1"/>
          <w:sz w:val="24"/>
        </w:rPr>
        <w:t>A</w:t>
      </w:r>
      <w:r>
        <w:rPr>
          <w:rFonts w:ascii="Century Schoolbook" w:hAnsi="Century Schoolbook"/>
          <w:spacing w:val="-1"/>
          <w:sz w:val="19"/>
        </w:rPr>
        <w:t>DULTS</w:t>
      </w:r>
      <w:r>
        <w:rPr>
          <w:rFonts w:ascii="Century Schoolbook" w:hAnsi="Century Schoolbook"/>
          <w:spacing w:val="-1"/>
          <w:sz w:val="24"/>
        </w:rPr>
        <w:t>,</w:t>
      </w:r>
      <w:r>
        <w:rPr>
          <w:rFonts w:ascii="Century Schoolbook" w:hAnsi="Century Schoolbook"/>
          <w:spacing w:val="-15"/>
          <w:sz w:val="24"/>
        </w:rPr>
        <w:t> </w:t>
      </w:r>
      <w:r>
        <w:rPr>
          <w:rFonts w:ascii="Century Schoolbook" w:hAnsi="Century Schoolbook"/>
          <w:sz w:val="24"/>
        </w:rPr>
        <w:t>U</w:t>
      </w:r>
      <w:r>
        <w:rPr>
          <w:rFonts w:ascii="Century Schoolbook" w:hAnsi="Century Schoolbook"/>
          <w:sz w:val="19"/>
        </w:rPr>
        <w:t>NITED</w:t>
      </w:r>
      <w:r>
        <w:rPr>
          <w:rFonts w:ascii="Century Schoolbook" w:hAnsi="Century Schoolbook"/>
          <w:spacing w:val="-2"/>
          <w:sz w:val="19"/>
        </w:rPr>
        <w:t> </w:t>
      </w:r>
      <w:r>
        <w:rPr>
          <w:rFonts w:ascii="Century Schoolbook" w:hAnsi="Century Schoolbook"/>
          <w:sz w:val="24"/>
        </w:rPr>
        <w:t>S</w:t>
      </w:r>
      <w:r>
        <w:rPr>
          <w:rFonts w:ascii="Century Schoolbook" w:hAnsi="Century Schoolbook"/>
          <w:sz w:val="19"/>
        </w:rPr>
        <w:t>TATES</w:t>
      </w:r>
      <w:r>
        <w:rPr>
          <w:rFonts w:ascii="Century Schoolbook" w:hAnsi="Century Schoolbook"/>
          <w:sz w:val="24"/>
        </w:rPr>
        <w:t>,</w:t>
      </w:r>
      <w:r>
        <w:rPr>
          <w:rFonts w:ascii="Century Schoolbook" w:hAnsi="Century Schoolbook"/>
          <w:spacing w:val="-14"/>
          <w:sz w:val="24"/>
        </w:rPr>
        <w:t> </w:t>
      </w:r>
      <w:r>
        <w:rPr>
          <w:rFonts w:ascii="Century Schoolbook" w:hAnsi="Century Schoolbook"/>
          <w:sz w:val="24"/>
        </w:rPr>
        <w:t>2016–2018”,</w:t>
      </w:r>
      <w:r>
        <w:rPr>
          <w:rFonts w:ascii="Century Schoolbook" w:hAnsi="Century Schoolbook"/>
          <w:spacing w:val="-16"/>
          <w:sz w:val="24"/>
        </w:rPr>
        <w:t> </w:t>
      </w:r>
      <w:r>
        <w:rPr>
          <w:rFonts w:ascii="Century Schoolbook" w:hAnsi="Century Schoolbook"/>
          <w:sz w:val="24"/>
        </w:rPr>
        <w:t>AJPH</w:t>
      </w:r>
      <w:r>
        <w:rPr>
          <w:rFonts w:ascii="Century Schoolbook" w:hAnsi="Century Schoolbook"/>
          <w:spacing w:val="-16"/>
          <w:sz w:val="24"/>
        </w:rPr>
        <w:t> </w:t>
      </w:r>
      <w:r>
        <w:rPr>
          <w:rFonts w:ascii="Century Schoolbook" w:hAnsi="Century Schoolbook"/>
          <w:sz w:val="24"/>
        </w:rPr>
        <w:t>110(7):</w:t>
      </w:r>
      <w:r>
        <w:rPr>
          <w:rFonts w:ascii="Century Schoolbook" w:hAnsi="Century Schoolbook"/>
          <w:spacing w:val="-15"/>
          <w:sz w:val="24"/>
        </w:rPr>
        <w:t> </w:t>
      </w:r>
      <w:r>
        <w:rPr>
          <w:rFonts w:ascii="Century Schoolbook" w:hAnsi="Century Schoolbook"/>
          <w:sz w:val="24"/>
        </w:rPr>
        <w:t>1024-1030</w:t>
      </w:r>
    </w:p>
    <w:p>
      <w:pPr>
        <w:pStyle w:val="BodyText"/>
        <w:rPr>
          <w:rFonts w:ascii="Century Schoolbook"/>
          <w:sz w:val="28"/>
        </w:rPr>
      </w:pPr>
    </w:p>
    <w:p>
      <w:pPr>
        <w:pStyle w:val="BodyText"/>
        <w:rPr>
          <w:rFonts w:ascii="Century Schoolbook"/>
          <w:sz w:val="28"/>
        </w:rPr>
      </w:pPr>
    </w:p>
    <w:p>
      <w:pPr>
        <w:pStyle w:val="BodyText"/>
        <w:rPr>
          <w:rFonts w:ascii="Century Schoolbook"/>
          <w:sz w:val="28"/>
        </w:rPr>
      </w:pPr>
    </w:p>
    <w:p>
      <w:pPr>
        <w:pStyle w:val="BodyText"/>
        <w:rPr>
          <w:rFonts w:ascii="Century Schoolbook"/>
          <w:sz w:val="28"/>
        </w:rPr>
      </w:pPr>
    </w:p>
    <w:p>
      <w:pPr>
        <w:pStyle w:val="BodyText"/>
        <w:rPr>
          <w:rFonts w:ascii="Century Schoolbook"/>
          <w:sz w:val="28"/>
        </w:rPr>
      </w:pPr>
    </w:p>
    <w:p>
      <w:pPr>
        <w:pStyle w:val="BodyText"/>
        <w:rPr>
          <w:rFonts w:ascii="Century Schoolbook"/>
          <w:sz w:val="28"/>
        </w:rPr>
      </w:pPr>
    </w:p>
    <w:p>
      <w:pPr>
        <w:pStyle w:val="BodyText"/>
        <w:rPr>
          <w:rFonts w:ascii="Century Schoolbook"/>
          <w:sz w:val="28"/>
        </w:rPr>
      </w:pPr>
    </w:p>
    <w:p>
      <w:pPr>
        <w:pStyle w:val="BodyText"/>
        <w:rPr>
          <w:rFonts w:ascii="Century Schoolbook"/>
          <w:sz w:val="28"/>
        </w:rPr>
      </w:pPr>
    </w:p>
    <w:p>
      <w:pPr>
        <w:pStyle w:val="BodyText"/>
        <w:rPr>
          <w:rFonts w:ascii="Century Schoolbook"/>
          <w:sz w:val="28"/>
        </w:rPr>
      </w:pPr>
    </w:p>
    <w:p>
      <w:pPr>
        <w:pStyle w:val="BodyText"/>
        <w:rPr>
          <w:rFonts w:ascii="Century Schoolbook"/>
          <w:sz w:val="28"/>
        </w:rPr>
      </w:pPr>
    </w:p>
    <w:p>
      <w:pPr>
        <w:pStyle w:val="BodyText"/>
        <w:spacing w:before="214"/>
        <w:ind w:left="5093"/>
      </w:pPr>
      <w:r>
        <w:rPr/>
        <w:t>D. Paul Sullins, Ph.D</w:t>
      </w:r>
    </w:p>
    <w:p>
      <w:pPr>
        <w:pStyle w:val="BodyText"/>
        <w:ind w:left="4385"/>
      </w:pPr>
      <w:r>
        <w:rPr/>
        <w:t>The</w:t>
      </w:r>
      <w:r>
        <w:rPr>
          <w:spacing w:val="-3"/>
        </w:rPr>
        <w:t> </w:t>
      </w:r>
      <w:r>
        <w:rPr/>
        <w:t>Catholic University</w:t>
      </w:r>
      <w:r>
        <w:rPr>
          <w:spacing w:val="-4"/>
        </w:rPr>
        <w:t> </w:t>
      </w:r>
      <w:r>
        <w:rPr/>
        <w:t>of America</w:t>
      </w:r>
    </w:p>
    <w:p>
      <w:pPr>
        <w:pStyle w:val="BodyText"/>
      </w:pPr>
    </w:p>
    <w:p>
      <w:pPr>
        <w:pStyle w:val="BodyText"/>
        <w:ind w:left="2621" w:right="2563"/>
        <w:jc w:val="center"/>
      </w:pPr>
      <w:r>
        <w:rPr/>
        <w:t>Address</w:t>
      </w:r>
      <w:r>
        <w:rPr>
          <w:spacing w:val="-2"/>
        </w:rPr>
        <w:t> </w:t>
      </w:r>
      <w:r>
        <w:rPr/>
        <w:t>correspondence</w:t>
      </w:r>
      <w:r>
        <w:rPr>
          <w:spacing w:val="-1"/>
        </w:rPr>
        <w:t> </w:t>
      </w:r>
      <w:r>
        <w:rPr/>
        <w:t>to:</w:t>
      </w:r>
      <w:r>
        <w:rPr>
          <w:spacing w:val="-2"/>
        </w:rPr>
        <w:t> </w:t>
      </w:r>
      <w:r>
        <w:rPr/>
        <w:t>4303</w:t>
      </w:r>
      <w:r>
        <w:rPr>
          <w:spacing w:val="-2"/>
        </w:rPr>
        <w:t> </w:t>
      </w:r>
      <w:r>
        <w:rPr/>
        <w:t>Gallatin</w:t>
      </w:r>
      <w:r>
        <w:rPr>
          <w:spacing w:val="-2"/>
        </w:rPr>
        <w:t> </w:t>
      </w:r>
      <w:r>
        <w:rPr/>
        <w:t>Street,</w:t>
      </w:r>
      <w:r>
        <w:rPr>
          <w:spacing w:val="-2"/>
        </w:rPr>
        <w:t> </w:t>
      </w:r>
      <w:r>
        <w:rPr/>
        <w:t>Hyattsville,</w:t>
      </w:r>
      <w:r>
        <w:rPr>
          <w:spacing w:val="-2"/>
        </w:rPr>
        <w:t> </w:t>
      </w:r>
      <w:r>
        <w:rPr/>
        <w:t>MD</w:t>
      </w:r>
      <w:r>
        <w:rPr>
          <w:spacing w:val="-2"/>
        </w:rPr>
        <w:t> </w:t>
      </w:r>
      <w:r>
        <w:rPr/>
        <w:t>20781</w:t>
      </w:r>
      <w:r>
        <w:rPr>
          <w:spacing w:val="-57"/>
        </w:rPr>
        <w:t> </w:t>
      </w:r>
      <w:r>
        <w:rPr/>
        <w:t>Email:</w:t>
      </w:r>
      <w:r>
        <w:rPr>
          <w:spacing w:val="-1"/>
        </w:rPr>
        <w:t> </w:t>
      </w:r>
      <w:hyperlink r:id="rId6">
        <w:r>
          <w:rPr>
            <w:color w:val="0000FF"/>
            <w:u w:val="single" w:color="0000FF"/>
          </w:rPr>
          <w:t>sullins@cua.edu</w:t>
        </w:r>
      </w:hyperlink>
      <w:r>
        <w:rPr>
          <w:color w:val="0000FF"/>
        </w:rPr>
        <w:t>  </w:t>
      </w:r>
      <w:r>
        <w:rPr/>
        <w:t>Phone: 301-277-0938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720" w:lineRule="auto" w:before="232"/>
        <w:ind w:left="1440" w:right="4659" w:firstLine="3295"/>
      </w:pPr>
      <w:r>
        <w:rPr/>
        <w:t>Narrative Word Count: 2331</w:t>
      </w:r>
      <w:r>
        <w:rPr>
          <w:spacing w:val="-57"/>
        </w:rPr>
        <w:t> </w:t>
      </w:r>
      <w:r>
        <w:rPr/>
        <w:t>Keywords:</w:t>
      </w:r>
      <w:r>
        <w:rPr>
          <w:spacing w:val="-1"/>
        </w:rPr>
        <w:t> </w:t>
      </w:r>
      <w:r>
        <w:rPr/>
        <w:t>sexual orientation, therapy,</w:t>
      </w:r>
      <w:r>
        <w:rPr>
          <w:spacing w:val="-1"/>
        </w:rPr>
        <w:t> </w:t>
      </w:r>
      <w:r>
        <w:rPr/>
        <w:t>suicide,</w:t>
      </w:r>
      <w:r>
        <w:rPr>
          <w:spacing w:val="-1"/>
        </w:rPr>
        <w:t> </w:t>
      </w:r>
      <w:r>
        <w:rPr/>
        <w:t>SOCE</w:t>
      </w:r>
    </w:p>
    <w:p>
      <w:pPr>
        <w:spacing w:after="0" w:line="720" w:lineRule="auto"/>
        <w:sectPr>
          <w:pgSz w:w="12240" w:h="15840"/>
          <w:pgMar w:header="0" w:footer="0" w:top="0" w:bottom="280" w:left="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4"/>
        <w:ind w:left="1661" w:right="1605"/>
        <w:jc w:val="center"/>
      </w:pPr>
      <w:r>
        <w:rPr/>
        <w:t>Abstract</w:t>
      </w:r>
    </w:p>
    <w:p>
      <w:pPr>
        <w:pStyle w:val="BodyText"/>
      </w:pPr>
    </w:p>
    <w:p>
      <w:pPr>
        <w:pStyle w:val="BodyText"/>
        <w:ind w:left="1440" w:right="1514"/>
      </w:pPr>
      <w:r>
        <w:rPr>
          <w:b/>
        </w:rPr>
        <w:t>Background: </w:t>
      </w:r>
      <w:r>
        <w:rPr/>
        <w:t>Blosnich and colleagues’ recent analysis of the Generations survey data,</w:t>
      </w:r>
      <w:r>
        <w:rPr>
          <w:spacing w:val="1"/>
        </w:rPr>
        <w:t> </w:t>
      </w:r>
      <w:r>
        <w:rPr/>
        <w:t>consisting of a population sample of 1518 sexual minority persons, improperly concluded that</w:t>
      </w:r>
      <w:r>
        <w:rPr>
          <w:spacing w:val="1"/>
        </w:rPr>
        <w:t> </w:t>
      </w:r>
      <w:r>
        <w:rPr/>
        <w:t>“sexual</w:t>
      </w:r>
      <w:r>
        <w:rPr>
          <w:spacing w:val="-2"/>
        </w:rPr>
        <w:t> </w:t>
      </w:r>
      <w:r>
        <w:rPr/>
        <w:t>minorities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experienced</w:t>
      </w:r>
      <w:r>
        <w:rPr>
          <w:spacing w:val="-2"/>
        </w:rPr>
        <w:t> </w:t>
      </w:r>
      <w:r>
        <w:rPr/>
        <w:t>SOCE</w:t>
      </w:r>
      <w:r>
        <w:rPr>
          <w:spacing w:val="-2"/>
        </w:rPr>
        <w:t> </w:t>
      </w:r>
      <w:r>
        <w:rPr/>
        <w:t>reported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higher</w:t>
      </w:r>
      <w:r>
        <w:rPr>
          <w:spacing w:val="-2"/>
        </w:rPr>
        <w:t> </w:t>
      </w:r>
      <w:r>
        <w:rPr/>
        <w:t>prevalence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suicidal</w:t>
      </w:r>
      <w:r>
        <w:rPr>
          <w:spacing w:val="-1"/>
        </w:rPr>
        <w:t> </w:t>
      </w:r>
      <w:r>
        <w:rPr/>
        <w:t>ideation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attempts than did sexual minorities who did not experience SOCE.”</w:t>
      </w:r>
      <w:r>
        <w:rPr>
          <w:spacing w:val="1"/>
        </w:rPr>
        <w:t> </w:t>
      </w:r>
      <w:r>
        <w:rPr/>
        <w:t>The majority of their</w:t>
      </w:r>
      <w:r>
        <w:rPr>
          <w:spacing w:val="1"/>
        </w:rPr>
        <w:t> </w:t>
      </w:r>
      <w:r>
        <w:rPr/>
        <w:t>analytic category “experienced SOCE” erroneously consists of persons expressing suicidality</w:t>
      </w:r>
      <w:r>
        <w:rPr>
          <w:spacing w:val="1"/>
        </w:rPr>
        <w:t> </w:t>
      </w:r>
      <w:r>
        <w:rPr/>
        <w:t>prior to experiencing SOCE, most of whom did not express further suicidality following SOCE.</w:t>
      </w:r>
      <w:r>
        <w:rPr>
          <w:spacing w:val="-57"/>
        </w:rPr>
        <w:t> </w:t>
      </w:r>
      <w:r>
        <w:rPr>
          <w:b/>
        </w:rPr>
        <w:t>Results: </w:t>
      </w:r>
      <w:r>
        <w:rPr/>
        <w:t>In logistic regression models that replicate those of Blosnich et al. with corrected data,</w:t>
      </w:r>
      <w:r>
        <w:rPr>
          <w:spacing w:val="-57"/>
        </w:rPr>
        <w:t> </w:t>
      </w:r>
      <w:r>
        <w:rPr/>
        <w:t>suicide</w:t>
      </w:r>
      <w:r>
        <w:rPr>
          <w:spacing w:val="-1"/>
        </w:rPr>
        <w:t> </w:t>
      </w:r>
      <w:r>
        <w:rPr/>
        <w:t>planning</w:t>
      </w:r>
      <w:r>
        <w:rPr>
          <w:spacing w:val="-3"/>
        </w:rPr>
        <w:t> </w:t>
      </w:r>
      <w:r>
        <w:rPr/>
        <w:t>was reduced by</w:t>
      </w:r>
      <w:r>
        <w:rPr>
          <w:spacing w:val="-5"/>
        </w:rPr>
        <w:t> </w:t>
      </w:r>
      <w:r>
        <w:rPr/>
        <w:t>half</w:t>
      </w:r>
      <w:r>
        <w:rPr>
          <w:spacing w:val="1"/>
        </w:rPr>
        <w:t> </w:t>
      </w:r>
      <w:r>
        <w:rPr/>
        <w:t>(AOR .45, 95%</w:t>
      </w:r>
      <w:r>
        <w:rPr>
          <w:spacing w:val="-1"/>
        </w:rPr>
        <w:t> </w:t>
      </w:r>
      <w:r>
        <w:rPr/>
        <w:t>CI</w:t>
      </w:r>
      <w:r>
        <w:rPr>
          <w:spacing w:val="-6"/>
        </w:rPr>
        <w:t> </w:t>
      </w:r>
      <w:r>
        <w:rPr/>
        <w:t>.27, .72) for SOCE participants.</w:t>
      </w:r>
    </w:p>
    <w:p>
      <w:pPr>
        <w:pStyle w:val="BodyText"/>
        <w:spacing w:before="1"/>
        <w:ind w:left="1440" w:right="1402"/>
      </w:pPr>
      <w:r>
        <w:rPr/>
        <w:t>Estimated suicide ideation (AOR .62), intention (AOR .91) and attempts (AOR .68) were also</w:t>
      </w:r>
      <w:r>
        <w:rPr>
          <w:spacing w:val="1"/>
        </w:rPr>
        <w:t> </w:t>
      </w:r>
      <w:r>
        <w:rPr/>
        <w:t>reduced,</w:t>
      </w:r>
      <w:r>
        <w:rPr>
          <w:spacing w:val="-1"/>
        </w:rPr>
        <w:t> </w:t>
      </w:r>
      <w:r>
        <w:rPr/>
        <w:t>but not</w:t>
      </w:r>
      <w:r>
        <w:rPr>
          <w:spacing w:val="-1"/>
        </w:rPr>
        <w:t> </w:t>
      </w:r>
      <w:r>
        <w:rPr/>
        <w:t>significantly.</w:t>
      </w:r>
      <w:r>
        <w:rPr>
          <w:spacing w:val="59"/>
        </w:rPr>
        <w:t> </w:t>
      </w:r>
      <w:r>
        <w:rPr/>
        <w:t>Results were</w:t>
      </w:r>
      <w:r>
        <w:rPr>
          <w:spacing w:val="-3"/>
        </w:rPr>
        <w:t> </w:t>
      </w:r>
      <w:r>
        <w:rPr/>
        <w:t>sharply</w:t>
      </w:r>
      <w:r>
        <w:rPr>
          <w:spacing w:val="-3"/>
        </w:rPr>
        <w:t> </w:t>
      </w:r>
      <w:r>
        <w:rPr/>
        <w:t>partitioned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age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SOCE,</w:t>
      </w:r>
      <w:r>
        <w:rPr>
          <w:spacing w:val="-1"/>
        </w:rPr>
        <w:t> </w:t>
      </w:r>
      <w:r>
        <w:rPr/>
        <w:t>with</w:t>
      </w:r>
      <w:r>
        <w:rPr>
          <w:spacing w:val="-57"/>
        </w:rPr>
        <w:t> </w:t>
      </w:r>
      <w:r>
        <w:rPr/>
        <w:t>all AORs above 1 for those who underwent SOCE as minors (under age 18) and below 1 for</w:t>
      </w:r>
      <w:r>
        <w:rPr>
          <w:spacing w:val="1"/>
        </w:rPr>
        <w:t> </w:t>
      </w:r>
      <w:r>
        <w:rPr/>
        <w:t>those participating in SOCE as adults (age 18 and older).</w:t>
      </w:r>
      <w:r>
        <w:rPr>
          <w:spacing w:val="1"/>
        </w:rPr>
        <w:t> </w:t>
      </w:r>
      <w:r>
        <w:rPr/>
        <w:t>Suicide attempts were five times less</w:t>
      </w:r>
      <w:r>
        <w:rPr>
          <w:spacing w:val="1"/>
        </w:rPr>
        <w:t> </w:t>
      </w:r>
      <w:r>
        <w:rPr/>
        <w:t>likely among adults who underwent SOCE (AOR .21, 95% CI .08, .57).</w:t>
      </w:r>
      <w:r>
        <w:rPr>
          <w:spacing w:val="1"/>
        </w:rPr>
        <w:t> </w:t>
      </w:r>
      <w:r>
        <w:rPr/>
        <w:t>For all respondents</w:t>
      </w:r>
      <w:r>
        <w:rPr>
          <w:spacing w:val="1"/>
        </w:rPr>
        <w:t> </w:t>
      </w:r>
      <w:r>
        <w:rPr/>
        <w:t>suicide attempts were only one-tenth to one-fifth as likely when SOCE followed an initial</w:t>
      </w:r>
      <w:r>
        <w:rPr>
          <w:spacing w:val="1"/>
        </w:rPr>
        <w:t> </w:t>
      </w:r>
      <w:r>
        <w:rPr/>
        <w:t>expression of</w:t>
      </w:r>
      <w:r>
        <w:rPr>
          <w:spacing w:val="-1"/>
        </w:rPr>
        <w:t> </w:t>
      </w:r>
      <w:r>
        <w:rPr/>
        <w:t>suicide</w:t>
      </w:r>
      <w:r>
        <w:rPr>
          <w:spacing w:val="-1"/>
        </w:rPr>
        <w:t> </w:t>
      </w:r>
      <w:r>
        <w:rPr/>
        <w:t>ideation (AOR .22, 95%</w:t>
      </w:r>
      <w:r>
        <w:rPr>
          <w:spacing w:val="-1"/>
        </w:rPr>
        <w:t> </w:t>
      </w:r>
      <w:r>
        <w:rPr/>
        <w:t>CI</w:t>
      </w:r>
      <w:r>
        <w:rPr>
          <w:spacing w:val="-1"/>
        </w:rPr>
        <w:t> </w:t>
      </w:r>
      <w:r>
        <w:rPr/>
        <w:t>.06, .82), planning</w:t>
      </w:r>
      <w:r>
        <w:rPr>
          <w:spacing w:val="-1"/>
        </w:rPr>
        <w:t> </w:t>
      </w:r>
      <w:r>
        <w:rPr/>
        <w:t>(AOE</w:t>
      </w:r>
      <w:r>
        <w:rPr>
          <w:spacing w:val="1"/>
        </w:rPr>
        <w:t> </w:t>
      </w:r>
      <w:r>
        <w:rPr/>
        <w:t>.11, 95%</w:t>
      </w:r>
      <w:r>
        <w:rPr>
          <w:spacing w:val="-1"/>
        </w:rPr>
        <w:t> </w:t>
      </w:r>
      <w:r>
        <w:rPr/>
        <w:t>CI</w:t>
      </w:r>
      <w:r>
        <w:rPr>
          <w:spacing w:val="-6"/>
        </w:rPr>
        <w:t> </w:t>
      </w:r>
      <w:r>
        <w:rPr/>
        <w:t>.02, .50)</w:t>
      </w:r>
    </w:p>
    <w:p>
      <w:pPr>
        <w:pStyle w:val="BodyText"/>
        <w:ind w:left="1440"/>
      </w:pPr>
      <w:r>
        <w:rPr/>
        <w:t>or</w:t>
      </w:r>
      <w:r>
        <w:rPr>
          <w:spacing w:val="-2"/>
        </w:rPr>
        <w:t> </w:t>
      </w:r>
      <w:r>
        <w:rPr/>
        <w:t>intent (AOR .09, 95%</w:t>
      </w:r>
      <w:r>
        <w:rPr>
          <w:spacing w:val="1"/>
        </w:rPr>
        <w:t> </w:t>
      </w:r>
      <w:r>
        <w:rPr/>
        <w:t>CI</w:t>
      </w:r>
      <w:r>
        <w:rPr>
          <w:spacing w:val="-6"/>
        </w:rPr>
        <w:t> </w:t>
      </w:r>
      <w:r>
        <w:rPr/>
        <w:t>.02, .40).</w:t>
      </w:r>
    </w:p>
    <w:p>
      <w:pPr>
        <w:pStyle w:val="BodyText"/>
        <w:ind w:left="1440" w:right="1529"/>
      </w:pPr>
      <w:r>
        <w:rPr>
          <w:b/>
        </w:rPr>
        <w:t>Conclusion: </w:t>
      </w:r>
      <w:r>
        <w:rPr/>
        <w:t>Restrictions on SOCE deprive sexual minorities of an important resource for</w:t>
      </w:r>
      <w:r>
        <w:rPr>
          <w:spacing w:val="1"/>
        </w:rPr>
        <w:t> </w:t>
      </w:r>
      <w:r>
        <w:rPr/>
        <w:t>reducing suicidality.</w:t>
      </w:r>
      <w:r>
        <w:rPr>
          <w:spacing w:val="1"/>
        </w:rPr>
        <w:t> </w:t>
      </w:r>
      <w:r>
        <w:rPr/>
        <w:t>The right of all adults to pursue therapy that affirms their persons,</w:t>
      </w:r>
      <w:r>
        <w:rPr>
          <w:spacing w:val="1"/>
        </w:rPr>
        <w:t> </w:t>
      </w:r>
      <w:r>
        <w:rPr/>
        <w:t>sexuality,</w:t>
      </w:r>
      <w:r>
        <w:rPr>
          <w:spacing w:val="-1"/>
        </w:rPr>
        <w:t> </w:t>
      </w:r>
      <w:r>
        <w:rPr/>
        <w:t>identity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goals</w:t>
      </w:r>
      <w:r>
        <w:rPr>
          <w:spacing w:val="1"/>
        </w:rPr>
        <w:t> </w:t>
      </w:r>
      <w:r>
        <w:rPr/>
        <w:t>should be</w:t>
      </w:r>
      <w:r>
        <w:rPr>
          <w:spacing w:val="-2"/>
        </w:rPr>
        <w:t> </w:t>
      </w:r>
      <w:r>
        <w:rPr/>
        <w:t>respected,</w:t>
      </w:r>
      <w:r>
        <w:rPr>
          <w:spacing w:val="1"/>
        </w:rPr>
        <w:t> </w:t>
      </w:r>
      <w:r>
        <w:rPr/>
        <w:t>whether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/>
        <w:t>experience stability</w:t>
      </w:r>
      <w:r>
        <w:rPr>
          <w:spacing w:val="-8"/>
        </w:rPr>
        <w:t> </w:t>
      </w:r>
      <w:r>
        <w:rPr/>
        <w:t>or</w:t>
      </w:r>
      <w:r>
        <w:rPr>
          <w:spacing w:val="-1"/>
        </w:rPr>
        <w:t> </w:t>
      </w:r>
      <w:r>
        <w:rPr/>
        <w:t>dysphoria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their current sexual or gender identity.</w:t>
      </w:r>
    </w:p>
    <w:p>
      <w:pPr>
        <w:spacing w:after="0"/>
        <w:sectPr>
          <w:headerReference w:type="even" r:id="rId12"/>
          <w:headerReference w:type="default" r:id="rId13"/>
          <w:pgSz w:w="12240" w:h="15840"/>
          <w:pgMar w:header="722" w:footer="0" w:top="980" w:bottom="280" w:left="0" w:right="6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Heading1"/>
        <w:rPr>
          <w:rFonts w:ascii="Times New Roman"/>
        </w:rPr>
      </w:pPr>
      <w:r>
        <w:rPr>
          <w:rFonts w:ascii="Times New Roman"/>
        </w:rPr>
        <w:t>BACKGROUND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480" w:lineRule="auto" w:before="1"/>
        <w:ind w:left="1440" w:right="1448" w:firstLine="719"/>
      </w:pPr>
      <w:r>
        <w:rPr/>
        <w:t>Blosnich and colleagues recently published a study which mistakenly concludes that</w:t>
      </w:r>
      <w:r>
        <w:rPr>
          <w:spacing w:val="1"/>
        </w:rPr>
        <w:t> </w:t>
      </w:r>
      <w:r>
        <w:rPr/>
        <w:t>“sexual minorities who experienced SOCE reported a higher prevalence of suicidal ideation and</w:t>
      </w:r>
      <w:r>
        <w:rPr>
          <w:spacing w:val="1"/>
        </w:rPr>
        <w:t> </w:t>
      </w:r>
      <w:r>
        <w:rPr/>
        <w:t>attempts than did sexual minorities who did not experience SOCE” (Blosnich et al. 2020).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conclusion is false because over half (55%, unweighted) of the cases in the analytic category</w:t>
      </w:r>
      <w:r>
        <w:rPr>
          <w:spacing w:val="1"/>
        </w:rPr>
        <w:t> </w:t>
      </w:r>
      <w:r>
        <w:rPr/>
        <w:t>“experienced</w:t>
      </w:r>
      <w:r>
        <w:rPr>
          <w:spacing w:val="-1"/>
        </w:rPr>
        <w:t> </w:t>
      </w:r>
      <w:r>
        <w:rPr/>
        <w:t>SOCE”</w:t>
      </w:r>
      <w:r>
        <w:rPr>
          <w:spacing w:val="-2"/>
        </w:rPr>
        <w:t> </w:t>
      </w:r>
      <w:r>
        <w:rPr/>
        <w:t>in this</w:t>
      </w:r>
      <w:r>
        <w:rPr>
          <w:spacing w:val="-1"/>
        </w:rPr>
        <w:t> </w:t>
      </w:r>
      <w:r>
        <w:rPr/>
        <w:t>study</w:t>
      </w:r>
      <w:r>
        <w:rPr>
          <w:spacing w:val="-4"/>
        </w:rPr>
        <w:t> </w:t>
      </w:r>
      <w:r>
        <w:rPr/>
        <w:t>consisted of</w:t>
      </w:r>
      <w:r>
        <w:rPr>
          <w:spacing w:val="-2"/>
        </w:rPr>
        <w:t> </w:t>
      </w:r>
      <w:r>
        <w:rPr/>
        <w:t>persons</w:t>
      </w:r>
      <w:r>
        <w:rPr>
          <w:spacing w:val="-1"/>
        </w:rPr>
        <w:t> </w:t>
      </w:r>
      <w:r>
        <w:rPr/>
        <w:t>who expressed</w:t>
      </w:r>
      <w:r>
        <w:rPr>
          <w:spacing w:val="-1"/>
        </w:rPr>
        <w:t> </w:t>
      </w:r>
      <w:r>
        <w:rPr/>
        <w:t>suicidal</w:t>
      </w:r>
      <w:r>
        <w:rPr>
          <w:spacing w:val="-1"/>
        </w:rPr>
        <w:t> </w:t>
      </w:r>
      <w:r>
        <w:rPr/>
        <w:t>ideation, planned</w:t>
      </w:r>
      <w:r>
        <w:rPr>
          <w:spacing w:val="-57"/>
        </w:rPr>
        <w:t> </w:t>
      </w:r>
      <w:r>
        <w:rPr/>
        <w:t>suicide, formed an intent to commit suicide, and/or attempted suicide before ever undergoing</w:t>
      </w:r>
      <w:r>
        <w:rPr>
          <w:spacing w:val="1"/>
        </w:rPr>
        <w:t> </w:t>
      </w:r>
      <w:r>
        <w:rPr/>
        <w:t>SOCE</w:t>
      </w:r>
      <w:r>
        <w:rPr>
          <w:spacing w:val="-1"/>
        </w:rPr>
        <w:t> </w:t>
      </w:r>
      <w:r>
        <w:rPr/>
        <w:t>treatment.</w:t>
      </w:r>
      <w:r>
        <w:rPr>
          <w:spacing w:val="59"/>
        </w:rPr>
        <w:t> </w:t>
      </w:r>
      <w:r>
        <w:rPr/>
        <w:t>A</w:t>
      </w:r>
      <w:r>
        <w:rPr>
          <w:spacing w:val="-2"/>
        </w:rPr>
        <w:t> </w:t>
      </w:r>
      <w:r>
        <w:rPr/>
        <w:t>fundamental</w:t>
      </w:r>
      <w:r>
        <w:rPr>
          <w:spacing w:val="-1"/>
        </w:rPr>
        <w:t> </w:t>
      </w:r>
      <w:r>
        <w:rPr/>
        <w:t>principle</w:t>
      </w:r>
      <w:r>
        <w:rPr>
          <w:spacing w:val="-2"/>
        </w:rPr>
        <w:t> </w:t>
      </w:r>
      <w:r>
        <w:rPr/>
        <w:t>of social</w:t>
      </w:r>
      <w:r>
        <w:rPr>
          <w:spacing w:val="-1"/>
        </w:rPr>
        <w:t> </w:t>
      </w:r>
      <w:r>
        <w:rPr/>
        <w:t>science</w:t>
      </w:r>
      <w:r>
        <w:rPr>
          <w:spacing w:val="-2"/>
        </w:rPr>
        <w:t> </w:t>
      </w:r>
      <w:r>
        <w:rPr/>
        <w:t>method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temporal</w:t>
      </w:r>
      <w:r>
        <w:rPr>
          <w:spacing w:val="-1"/>
        </w:rPr>
        <w:t> </w:t>
      </w:r>
      <w:r>
        <w:rPr/>
        <w:t>precedence,</w:t>
      </w:r>
      <w:r>
        <w:rPr>
          <w:spacing w:val="-57"/>
        </w:rPr>
        <w:t> </w:t>
      </w:r>
      <w:r>
        <w:rPr/>
        <w:t>in which the cause precedes the effect, is required to establish a real-world (nomothetic or</w:t>
      </w:r>
      <w:r>
        <w:rPr>
          <w:spacing w:val="1"/>
        </w:rPr>
        <w:t> </w:t>
      </w:r>
      <w:r>
        <w:rPr/>
        <w:t>efficient) cause-effect relationship (Babbie 2012, 92).</w:t>
      </w:r>
      <w:r>
        <w:rPr>
          <w:spacing w:val="1"/>
        </w:rPr>
        <w:t> </w:t>
      </w:r>
      <w:r>
        <w:rPr/>
        <w:t>Suicidal behavior which predated SOCE</w:t>
      </w:r>
      <w:r>
        <w:rPr>
          <w:spacing w:val="1"/>
        </w:rPr>
        <w:t> </w:t>
      </w:r>
      <w:r>
        <w:rPr/>
        <w:t>treatment,</w:t>
      </w:r>
      <w:r>
        <w:rPr>
          <w:spacing w:val="-1"/>
        </w:rPr>
        <w:t> </w:t>
      </w:r>
      <w:r>
        <w:rPr/>
        <w:t>therefore,</w:t>
      </w:r>
      <w:r>
        <w:rPr>
          <w:spacing w:val="2"/>
        </w:rPr>
        <w:t> </w:t>
      </w:r>
      <w:r>
        <w:rPr/>
        <w:t>could</w:t>
      </w:r>
      <w:r>
        <w:rPr>
          <w:spacing w:val="-1"/>
        </w:rPr>
        <w:t> </w:t>
      </w:r>
      <w:r>
        <w:rPr/>
        <w:t>not possibly</w:t>
      </w:r>
      <w:r>
        <w:rPr>
          <w:spacing w:val="-8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2"/>
        </w:rPr>
        <w:t> </w:t>
      </w:r>
      <w:r>
        <w:rPr/>
        <w:t>caused or</w:t>
      </w:r>
      <w:r>
        <w:rPr>
          <w:spacing w:val="-1"/>
        </w:rPr>
        <w:t> </w:t>
      </w:r>
      <w:r>
        <w:rPr/>
        <w:t>influenced by</w:t>
      </w:r>
      <w:r>
        <w:rPr>
          <w:spacing w:val="-3"/>
        </w:rPr>
        <w:t> </w:t>
      </w:r>
      <w:r>
        <w:rPr/>
        <w:t>SOCE</w:t>
      </w:r>
      <w:r>
        <w:rPr>
          <w:spacing w:val="-1"/>
        </w:rPr>
        <w:t> </w:t>
      </w:r>
      <w:r>
        <w:rPr/>
        <w:t>treatment.</w:t>
      </w:r>
    </w:p>
    <w:p>
      <w:pPr>
        <w:pStyle w:val="BodyText"/>
        <w:spacing w:line="480" w:lineRule="auto" w:before="1"/>
        <w:ind w:left="1440" w:right="1844"/>
      </w:pPr>
      <w:r>
        <w:rPr/>
        <w:t>Moreover,</w:t>
      </w:r>
      <w:r>
        <w:rPr>
          <w:spacing w:val="-1"/>
        </w:rPr>
        <w:t> </w:t>
      </w:r>
      <w:r>
        <w:rPr/>
        <w:t>subsequent</w:t>
      </w:r>
      <w:r>
        <w:rPr>
          <w:spacing w:val="-1"/>
        </w:rPr>
        <w:t> </w:t>
      </w:r>
      <w:r>
        <w:rPr/>
        <w:t>suicidality,</w:t>
      </w:r>
      <w:r>
        <w:rPr>
          <w:spacing w:val="-1"/>
        </w:rPr>
        <w:t> </w:t>
      </w:r>
      <w:r>
        <w:rPr/>
        <w:t>particularly</w:t>
      </w:r>
      <w:r>
        <w:rPr>
          <w:spacing w:val="-6"/>
        </w:rPr>
        <w:t> </w:t>
      </w:r>
      <w:r>
        <w:rPr/>
        <w:t>suicide</w:t>
      </w:r>
      <w:r>
        <w:rPr>
          <w:spacing w:val="-1"/>
        </w:rPr>
        <w:t> </w:t>
      </w:r>
      <w:r>
        <w:rPr/>
        <w:t>attempts,</w:t>
      </w:r>
      <w:r>
        <w:rPr>
          <w:spacing w:val="1"/>
        </w:rPr>
        <w:t> </w:t>
      </w:r>
      <w:r>
        <w:rPr/>
        <w:t>were</w:t>
      </w:r>
      <w:r>
        <w:rPr>
          <w:spacing w:val="-2"/>
        </w:rPr>
        <w:t> </w:t>
      </w:r>
      <w:r>
        <w:rPr/>
        <w:t>lower</w:t>
      </w:r>
      <w:r>
        <w:rPr>
          <w:spacing w:val="-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SOCE</w:t>
      </w:r>
      <w:r>
        <w:rPr>
          <w:spacing w:val="-57"/>
        </w:rPr>
        <w:t> </w:t>
      </w:r>
      <w:r>
        <w:rPr/>
        <w:t>treatment</w:t>
      </w:r>
      <w:r>
        <w:rPr>
          <w:spacing w:val="-1"/>
        </w:rPr>
        <w:t> </w:t>
      </w:r>
      <w:r>
        <w:rPr/>
        <w:t>than for</w:t>
      </w:r>
      <w:r>
        <w:rPr>
          <w:spacing w:val="-1"/>
        </w:rPr>
        <w:t> </w:t>
      </w:r>
      <w:r>
        <w:rPr/>
        <w:t>comparable persons who</w:t>
      </w:r>
      <w:r>
        <w:rPr>
          <w:spacing w:val="-1"/>
        </w:rPr>
        <w:t> </w:t>
      </w:r>
      <w:r>
        <w:rPr/>
        <w:t>had not</w:t>
      </w:r>
      <w:r>
        <w:rPr>
          <w:spacing w:val="-1"/>
        </w:rPr>
        <w:t> </w:t>
      </w:r>
      <w:r>
        <w:rPr/>
        <w:t>undergone</w:t>
      </w:r>
      <w:r>
        <w:rPr>
          <w:spacing w:val="-1"/>
        </w:rPr>
        <w:t> </w:t>
      </w:r>
      <w:r>
        <w:rPr/>
        <w:t>SOCE treatment.</w:t>
      </w:r>
    </w:p>
    <w:p>
      <w:pPr>
        <w:pStyle w:val="BodyText"/>
        <w:spacing w:line="480" w:lineRule="auto"/>
        <w:ind w:left="1440" w:right="1489" w:firstLine="719"/>
      </w:pPr>
      <w:r>
        <w:rPr/>
        <w:t>Blosnich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al.’s</w:t>
      </w:r>
      <w:r>
        <w:rPr>
          <w:spacing w:val="1"/>
        </w:rPr>
        <w:t> </w:t>
      </w:r>
      <w:r>
        <w:rPr/>
        <w:t>analysis,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present</w:t>
      </w:r>
      <w:r>
        <w:rPr>
          <w:spacing w:val="-1"/>
        </w:rPr>
        <w:t> </w:t>
      </w:r>
      <w:r>
        <w:rPr/>
        <w:t>re-analysis, makes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Waves</w:t>
      </w:r>
      <w:r>
        <w:rPr>
          <w:spacing w:val="-1"/>
        </w:rPr>
        <w:t> </w:t>
      </w:r>
      <w:r>
        <w:rPr/>
        <w:t>1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Generations data, a well-crafted survey of a sample of persons (N=1518) statistically</w:t>
      </w:r>
      <w:r>
        <w:rPr>
          <w:spacing w:val="1"/>
        </w:rPr>
        <w:t> </w:t>
      </w:r>
      <w:r>
        <w:rPr/>
        <w:t>representative of the population of sexual minorities in the United States administered by the</w:t>
      </w:r>
      <w:r>
        <w:rPr>
          <w:spacing w:val="1"/>
        </w:rPr>
        <w:t> </w:t>
      </w:r>
      <w:r>
        <w:rPr/>
        <w:t>Williams Institute in 2016 and 2018</w:t>
      </w:r>
      <w:r>
        <w:rPr>
          <w:spacing w:val="1"/>
        </w:rPr>
        <w:t> </w:t>
      </w:r>
      <w:r>
        <w:rPr/>
        <w:t>(Meyer 2020).</w:t>
      </w:r>
      <w:r>
        <w:rPr>
          <w:spacing w:val="1"/>
        </w:rPr>
        <w:t> </w:t>
      </w:r>
      <w:r>
        <w:rPr/>
        <w:t>For SOCE participation respondents were</w:t>
      </w:r>
      <w:r>
        <w:rPr>
          <w:spacing w:val="1"/>
        </w:rPr>
        <w:t> </w:t>
      </w:r>
      <w:r>
        <w:rPr/>
        <w:t>asked, “Did you ever receive treatment from someone who tried to change your sexual</w:t>
      </w:r>
      <w:r>
        <w:rPr>
          <w:spacing w:val="1"/>
        </w:rPr>
        <w:t> </w:t>
      </w:r>
      <w:r>
        <w:rPr/>
        <w:t>orientation?” and if so, their age when such treatment occurred.</w:t>
      </w:r>
      <w:r>
        <w:rPr>
          <w:spacing w:val="1"/>
        </w:rPr>
        <w:t> </w:t>
      </w:r>
      <w:r>
        <w:rPr/>
        <w:t>Four questions addressed</w:t>
      </w:r>
      <w:r>
        <w:rPr>
          <w:spacing w:val="1"/>
        </w:rPr>
        <w:t> </w:t>
      </w:r>
      <w:r>
        <w:rPr/>
        <w:t>lifetime suicidal behavior: “Did you ever in your life have thoughts of killing yourself?” “Did</w:t>
      </w:r>
      <w:r>
        <w:rPr>
          <w:spacing w:val="1"/>
        </w:rPr>
        <w:t> </w:t>
      </w:r>
      <w:r>
        <w:rPr/>
        <w:t>you ever have any intention to act on thoughts of wishing you were dead or trying to kill</w:t>
      </w:r>
      <w:r>
        <w:rPr>
          <w:spacing w:val="1"/>
        </w:rPr>
        <w:t> </w:t>
      </w:r>
      <w:r>
        <w:rPr/>
        <w:t>yourself?”</w:t>
      </w:r>
      <w:r>
        <w:rPr>
          <w:spacing w:val="1"/>
        </w:rPr>
        <w:t> </w:t>
      </w:r>
      <w:r>
        <w:rPr/>
        <w:t>“Did you ever think about how you might kill yourself (e.g. taking pills, shooting</w:t>
      </w:r>
      <w:r>
        <w:rPr>
          <w:spacing w:val="1"/>
        </w:rPr>
        <w:t> </w:t>
      </w:r>
      <w:r>
        <w:rPr/>
        <w:t>yourself)</w:t>
      </w:r>
      <w:r>
        <w:rPr>
          <w:spacing w:val="-3"/>
        </w:rPr>
        <w:t> </w:t>
      </w:r>
      <w:r>
        <w:rPr/>
        <w:t>or work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how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kill yourself?” and</w:t>
      </w:r>
      <w:r>
        <w:rPr>
          <w:spacing w:val="-1"/>
        </w:rPr>
        <w:t> </w:t>
      </w:r>
      <w:r>
        <w:rPr/>
        <w:t>“Did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ever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suicide attempt</w:t>
      </w:r>
    </w:p>
    <w:p>
      <w:pPr>
        <w:spacing w:after="0" w:line="480" w:lineRule="auto"/>
        <w:sectPr>
          <w:pgSz w:w="12240" w:h="15840"/>
          <w:pgMar w:header="722" w:footer="0" w:top="980" w:bottom="280" w:left="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440" w:right="1408"/>
      </w:pPr>
      <w:r>
        <w:rPr/>
        <w:t>(i.e., purposefully hurt yourself with at least some intention to die)?”</w:t>
      </w:r>
      <w:r>
        <w:rPr>
          <w:spacing w:val="1"/>
        </w:rPr>
        <w:t> </w:t>
      </w:r>
      <w:r>
        <w:rPr/>
        <w:t>Response options for each</w:t>
      </w:r>
      <w:r>
        <w:rPr>
          <w:spacing w:val="1"/>
        </w:rPr>
        <w:t> </w:t>
      </w:r>
      <w:r>
        <w:rPr/>
        <w:t>question were “No”, “Yes, once” and “Yes, more than once”.</w:t>
      </w:r>
      <w:r>
        <w:rPr>
          <w:spacing w:val="1"/>
        </w:rPr>
        <w:t> </w:t>
      </w:r>
      <w:r>
        <w:rPr/>
        <w:t>Follow-up questions for the latter</w:t>
      </w:r>
      <w:r>
        <w:rPr>
          <w:spacing w:val="1"/>
        </w:rPr>
        <w:t> </w:t>
      </w:r>
      <w:r>
        <w:rPr/>
        <w:t>two responses asked how old the respondent was when they engaged in the behavior or in the</w:t>
      </w:r>
      <w:r>
        <w:rPr>
          <w:spacing w:val="1"/>
        </w:rPr>
        <w:t> </w:t>
      </w:r>
      <w:r>
        <w:rPr/>
        <w:t>first and most recent of multiple instances of the behavior.</w:t>
      </w:r>
      <w:r>
        <w:rPr>
          <w:spacing w:val="1"/>
        </w:rPr>
        <w:t> </w:t>
      </w:r>
      <w:r>
        <w:rPr/>
        <w:t>A full description of the survey</w:t>
      </w:r>
      <w:r>
        <w:rPr>
          <w:spacing w:val="1"/>
        </w:rPr>
        <w:t> </w:t>
      </w:r>
      <w:r>
        <w:rPr/>
        <w:t>methods and questionnaires has been published (Krueger et al. 2020).</w:t>
      </w:r>
      <w:r>
        <w:rPr>
          <w:spacing w:val="1"/>
        </w:rPr>
        <w:t> </w:t>
      </w:r>
      <w:r>
        <w:rPr/>
        <w:t>Two participants did not</w:t>
      </w:r>
      <w:r>
        <w:rPr>
          <w:spacing w:val="1"/>
        </w:rPr>
        <w:t> </w:t>
      </w:r>
      <w:r>
        <w:rPr/>
        <w:t>report their age at SOCE.</w:t>
      </w:r>
      <w:r>
        <w:rPr>
          <w:spacing w:val="1"/>
        </w:rPr>
        <w:t> </w:t>
      </w:r>
      <w:r>
        <w:rPr/>
        <w:t>For 32 cases recorded as repeated incidents of suicide behavior only a</w:t>
      </w:r>
      <w:r>
        <w:rPr>
          <w:spacing w:val="-57"/>
        </w:rPr>
        <w:t> </w:t>
      </w:r>
      <w:r>
        <w:rPr/>
        <w:t>first incident date was reported; these were recoded as single incidents.</w:t>
      </w:r>
      <w:r>
        <w:rPr>
          <w:spacing w:val="1"/>
        </w:rPr>
        <w:t> </w:t>
      </w:r>
      <w:r>
        <w:rPr/>
        <w:t>Blosnich et al. did not</w:t>
      </w:r>
      <w:r>
        <w:rPr>
          <w:spacing w:val="1"/>
        </w:rPr>
        <w:t> </w:t>
      </w:r>
      <w:r>
        <w:rPr/>
        <w:t>examine when the suicidal behavior occurred relative to SOCE or whether it consisted of single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multiple</w:t>
      </w:r>
      <w:r>
        <w:rPr>
          <w:spacing w:val="-2"/>
        </w:rPr>
        <w:t> </w:t>
      </w:r>
      <w:r>
        <w:rPr/>
        <w:t>instances or</w:t>
      </w:r>
      <w:r>
        <w:rPr>
          <w:spacing w:val="-1"/>
        </w:rPr>
        <w:t> </w:t>
      </w:r>
      <w:r>
        <w:rPr/>
        <w:t>attempts.</w:t>
      </w:r>
      <w:r>
        <w:rPr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present analysis</w:t>
      </w:r>
      <w:r>
        <w:rPr>
          <w:spacing w:val="-1"/>
        </w:rPr>
        <w:t> </w:t>
      </w:r>
      <w:r>
        <w:rPr/>
        <w:t>makes 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both of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features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data.</w:t>
      </w:r>
    </w:p>
    <w:p>
      <w:pPr>
        <w:pStyle w:val="Heading1"/>
        <w:spacing w:before="211" w:after="5"/>
        <w:ind w:left="1080" w:right="604"/>
      </w:pPr>
      <w:r>
        <w:rPr/>
        <w:t>Table</w:t>
      </w:r>
      <w:r>
        <w:rPr>
          <w:spacing w:val="-1"/>
        </w:rPr>
        <w:t> </w:t>
      </w:r>
      <w:r>
        <w:rPr/>
        <w:t>1.</w:t>
      </w:r>
      <w:r>
        <w:rPr>
          <w:spacing w:val="-2"/>
        </w:rPr>
        <w:t> </w:t>
      </w:r>
      <w:r>
        <w:rPr/>
        <w:t>Timing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suicidal</w:t>
      </w:r>
      <w:r>
        <w:rPr>
          <w:spacing w:val="-2"/>
        </w:rPr>
        <w:t> </w:t>
      </w:r>
      <w:r>
        <w:rPr/>
        <w:t>behavior</w:t>
      </w:r>
      <w:r>
        <w:rPr>
          <w:spacing w:val="-2"/>
        </w:rPr>
        <w:t> </w:t>
      </w:r>
      <w:r>
        <w:rPr/>
        <w:t>relative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SOCE</w:t>
      </w:r>
      <w:r>
        <w:rPr>
          <w:spacing w:val="-2"/>
        </w:rPr>
        <w:t> </w:t>
      </w:r>
      <w:r>
        <w:rPr/>
        <w:t>(in</w:t>
      </w:r>
      <w:r>
        <w:rPr>
          <w:spacing w:val="-2"/>
        </w:rPr>
        <w:t> </w:t>
      </w:r>
      <w:r>
        <w:rPr/>
        <w:t>percent):</w:t>
      </w:r>
      <w:r>
        <w:rPr>
          <w:spacing w:val="-1"/>
        </w:rPr>
        <w:t> </w:t>
      </w:r>
      <w:r>
        <w:rPr/>
        <w:t>Generations</w:t>
      </w:r>
      <w:r>
        <w:rPr>
          <w:spacing w:val="-2"/>
        </w:rPr>
        <w:t> </w:t>
      </w:r>
      <w:r>
        <w:rPr/>
        <w:t>Data</w:t>
      </w:r>
      <w:r>
        <w:rPr>
          <w:spacing w:val="-4"/>
        </w:rPr>
        <w:t> </w:t>
      </w:r>
      <w:r>
        <w:rPr/>
        <w:t>2018</w:t>
      </w:r>
      <w:r>
        <w:rPr>
          <w:spacing w:val="-64"/>
        </w:rPr>
        <w:t> </w:t>
      </w:r>
      <w:r>
        <w:rPr/>
        <w:t>(n=1518)</w:t>
      </w:r>
    </w:p>
    <w:p>
      <w:pPr>
        <w:pStyle w:val="BodyText"/>
        <w:spacing w:line="20" w:lineRule="exact"/>
        <w:ind w:left="972"/>
        <w:rPr>
          <w:rFonts w:ascii="Arial"/>
          <w:sz w:val="2"/>
        </w:rPr>
      </w:pPr>
      <w:r>
        <w:rPr>
          <w:rFonts w:ascii="Arial"/>
          <w:sz w:val="2"/>
        </w:rPr>
        <w:pict>
          <v:group style="width:527.3pt;height:.5pt;mso-position-horizontal-relative:char;mso-position-vertical-relative:line" id="docshapegroup3" coordorigin="0,0" coordsize="10546,10">
            <v:shape style="position:absolute;left:0;top:0;width:10546;height:10" id="docshape4" coordorigin="0,0" coordsize="10546,10" path="m8925,0l7314,0,7305,0,5603,0,5593,0,5593,0,3894,0,3884,0,0,0,0,10,3884,10,3894,10,5593,10,5593,10,5603,10,7305,10,7314,10,8925,10,8925,0xm8935,0l8925,0,8925,10,8935,10,8935,0xm10546,0l8935,0,8935,10,10546,10,10546,0xe" filled="true" fillcolor="#000000" stroked="false">
              <v:path arrowok="t"/>
              <v:fill type="solid"/>
            </v:shap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pgSz w:w="12240" w:h="15840"/>
          <w:pgMar w:header="722" w:footer="0" w:top="980" w:bottom="280" w:left="0" w:right="60"/>
        </w:sectPr>
      </w:pPr>
    </w:p>
    <w:p>
      <w:pPr>
        <w:tabs>
          <w:tab w:pos="5381" w:val="left" w:leader="none"/>
        </w:tabs>
        <w:spacing w:line="120" w:lineRule="auto" w:before="102"/>
        <w:ind w:left="5357" w:right="0" w:hanging="3791"/>
        <w:jc w:val="right"/>
        <w:rPr>
          <w:rFonts w:ascii="Arial"/>
          <w:sz w:val="20"/>
        </w:rPr>
      </w:pPr>
      <w:r>
        <w:rPr>
          <w:rFonts w:ascii="Arial"/>
          <w:sz w:val="20"/>
        </w:rPr>
        <w:t>Suicide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behavior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first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occurred</w:t>
        <w:tab/>
        <w:tab/>
      </w:r>
      <w:r>
        <w:rPr>
          <w:rFonts w:ascii="Arial"/>
          <w:position w:val="12"/>
          <w:sz w:val="20"/>
        </w:rPr>
        <w:t>Suicide</w:t>
      </w:r>
      <w:r>
        <w:rPr>
          <w:rFonts w:ascii="Arial"/>
          <w:spacing w:val="-53"/>
          <w:position w:val="12"/>
          <w:sz w:val="20"/>
        </w:rPr>
        <w:t> </w:t>
      </w:r>
      <w:r>
        <w:rPr>
          <w:rFonts w:ascii="Arial"/>
          <w:w w:val="95"/>
          <w:sz w:val="20"/>
        </w:rPr>
        <w:t>ideation</w:t>
      </w:r>
    </w:p>
    <w:p>
      <w:pPr>
        <w:spacing w:before="13"/>
        <w:ind w:left="1133" w:right="-14" w:hanging="14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spacing w:val="-1"/>
          <w:sz w:val="20"/>
        </w:rPr>
        <w:t>Suicide</w:t>
      </w:r>
      <w:r>
        <w:rPr>
          <w:rFonts w:ascii="Arial"/>
          <w:spacing w:val="-53"/>
          <w:sz w:val="20"/>
        </w:rPr>
        <w:t> </w:t>
      </w:r>
      <w:r>
        <w:rPr>
          <w:rFonts w:ascii="Arial"/>
          <w:sz w:val="20"/>
        </w:rPr>
        <w:t>plan</w:t>
      </w:r>
    </w:p>
    <w:p>
      <w:pPr>
        <w:spacing w:before="13"/>
        <w:ind w:left="921" w:right="0" w:firstLine="5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  <w:t>Suicide</w:t>
      </w:r>
      <w:r>
        <w:rPr>
          <w:rFonts w:ascii="Arial"/>
          <w:spacing w:val="-53"/>
          <w:sz w:val="20"/>
        </w:rPr>
        <w:t> </w:t>
      </w:r>
      <w:r>
        <w:rPr>
          <w:rFonts w:ascii="Arial"/>
          <w:w w:val="95"/>
          <w:sz w:val="20"/>
        </w:rPr>
        <w:t>intention</w:t>
      </w:r>
    </w:p>
    <w:p>
      <w:pPr>
        <w:spacing w:before="13"/>
        <w:ind w:left="869" w:right="1124" w:firstLine="7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  <w:t>Suicide</w:t>
      </w:r>
      <w:r>
        <w:rPr>
          <w:rFonts w:ascii="Arial"/>
          <w:spacing w:val="-53"/>
          <w:sz w:val="20"/>
        </w:rPr>
        <w:t> </w:t>
      </w:r>
      <w:r>
        <w:rPr>
          <w:rFonts w:ascii="Arial"/>
          <w:sz w:val="20"/>
        </w:rPr>
        <w:t>attempt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2240" w:h="15840"/>
          <w:pgMar w:header="722" w:footer="0" w:top="0" w:bottom="280" w:left="0" w:right="60"/>
          <w:cols w:num="4" w:equalWidth="0">
            <w:col w:w="6057" w:space="40"/>
            <w:col w:w="1648" w:space="39"/>
            <w:col w:w="1676" w:space="40"/>
            <w:col w:w="2680"/>
          </w:cols>
        </w:sectPr>
      </w:pPr>
    </w:p>
    <w:p>
      <w:pPr>
        <w:pStyle w:val="BodyText"/>
        <w:rPr>
          <w:rFonts w:ascii="Arial"/>
          <w:sz w:val="3"/>
        </w:rPr>
      </w:pPr>
    </w:p>
    <w:tbl>
      <w:tblPr>
        <w:tblW w:w="0" w:type="auto"/>
        <w:jc w:val="left"/>
        <w:tblInd w:w="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5"/>
        <w:gridCol w:w="1719"/>
        <w:gridCol w:w="1673"/>
        <w:gridCol w:w="1625"/>
        <w:gridCol w:w="1665"/>
      </w:tblGrid>
      <w:tr>
        <w:trPr>
          <w:trHeight w:val="227" w:hRule="atLeast"/>
        </w:trPr>
        <w:tc>
          <w:tcPr>
            <w:tcW w:w="5584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207" w:lineRule="exact"/>
              <w:ind w:right="374"/>
              <w:jc w:val="right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(%,S.E.)</w:t>
            </w:r>
          </w:p>
        </w:tc>
        <w:tc>
          <w:tcPr>
            <w:tcW w:w="16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7" w:lineRule="exact"/>
              <w:ind w:left="391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(%,S.E.)</w:t>
            </w:r>
          </w:p>
        </w:tc>
        <w:tc>
          <w:tcPr>
            <w:tcW w:w="16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7" w:lineRule="exact"/>
              <w:ind w:left="383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(%,S.E.)</w:t>
            </w:r>
          </w:p>
        </w:tc>
        <w:tc>
          <w:tcPr>
            <w:tcW w:w="16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7" w:lineRule="exact"/>
              <w:ind w:left="376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(%,S.E.)</w:t>
            </w:r>
          </w:p>
        </w:tc>
      </w:tr>
      <w:tr>
        <w:trPr>
          <w:trHeight w:val="277" w:hRule="atLeast"/>
        </w:trPr>
        <w:tc>
          <w:tcPr>
            <w:tcW w:w="3865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SOCE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(n=106)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1" w:hRule="atLeast"/>
        </w:trPr>
        <w:tc>
          <w:tcPr>
            <w:tcW w:w="3865" w:type="dxa"/>
          </w:tcPr>
          <w:p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suicide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behavior</w:t>
            </w:r>
          </w:p>
        </w:tc>
        <w:tc>
          <w:tcPr>
            <w:tcW w:w="1719" w:type="dxa"/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89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(84.9,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4.1)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*</w:t>
            </w:r>
          </w:p>
        </w:tc>
        <w:tc>
          <w:tcPr>
            <w:tcW w:w="1673" w:type="dxa"/>
          </w:tcPr>
          <w:p>
            <w:pPr>
              <w:pStyle w:val="TableParagraph"/>
              <w:spacing w:before="40"/>
              <w:ind w:left="117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(72.0,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5.4)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*</w:t>
            </w:r>
          </w:p>
        </w:tc>
        <w:tc>
          <w:tcPr>
            <w:tcW w:w="1625" w:type="dxa"/>
          </w:tcPr>
          <w:p>
            <w:pPr>
              <w:pStyle w:val="TableParagraph"/>
              <w:spacing w:before="40"/>
              <w:ind w:left="153"/>
              <w:rPr>
                <w:sz w:val="20"/>
              </w:rPr>
            </w:pPr>
            <w:r>
              <w:rPr>
                <w:sz w:val="20"/>
              </w:rPr>
              <w:t>59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(65.1,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5.5)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*</w:t>
            </w:r>
          </w:p>
        </w:tc>
        <w:tc>
          <w:tcPr>
            <w:tcW w:w="1665" w:type="dxa"/>
          </w:tcPr>
          <w:p>
            <w:pPr>
              <w:pStyle w:val="TableParagraph"/>
              <w:spacing w:before="40"/>
              <w:ind w:left="148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(40.4,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6.0)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*</w:t>
            </w:r>
          </w:p>
        </w:tc>
      </w:tr>
      <w:tr>
        <w:trPr>
          <w:trHeight w:val="315" w:hRule="atLeast"/>
        </w:trPr>
        <w:tc>
          <w:tcPr>
            <w:tcW w:w="3865" w:type="dxa"/>
          </w:tcPr>
          <w:p>
            <w:pPr>
              <w:pStyle w:val="TableParagraph"/>
              <w:spacing w:before="54"/>
              <w:ind w:left="273"/>
              <w:rPr>
                <w:sz w:val="20"/>
              </w:rPr>
            </w:pP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SOCE</w:t>
            </w:r>
          </w:p>
        </w:tc>
        <w:tc>
          <w:tcPr>
            <w:tcW w:w="1719" w:type="dxa"/>
          </w:tcPr>
          <w:p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(22.1,5.2)</w:t>
            </w:r>
          </w:p>
        </w:tc>
        <w:tc>
          <w:tcPr>
            <w:tcW w:w="1673" w:type="dxa"/>
          </w:tcPr>
          <w:p>
            <w:pPr>
              <w:pStyle w:val="TableParagraph"/>
              <w:spacing w:before="54"/>
              <w:ind w:left="117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(28.2,5.8)</w:t>
            </w:r>
          </w:p>
        </w:tc>
        <w:tc>
          <w:tcPr>
            <w:tcW w:w="1625" w:type="dxa"/>
          </w:tcPr>
          <w:p>
            <w:pPr>
              <w:pStyle w:val="TableParagraph"/>
              <w:spacing w:before="54"/>
              <w:ind w:left="153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(33.2,7.9)</w:t>
            </w:r>
          </w:p>
        </w:tc>
        <w:tc>
          <w:tcPr>
            <w:tcW w:w="1665" w:type="dxa"/>
          </w:tcPr>
          <w:p>
            <w:pPr>
              <w:pStyle w:val="TableParagraph"/>
              <w:spacing w:before="54"/>
              <w:ind w:left="148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(37.6,7.3)</w:t>
            </w:r>
          </w:p>
        </w:tc>
      </w:tr>
      <w:tr>
        <w:trPr>
          <w:trHeight w:val="284" w:hRule="atLeast"/>
        </w:trPr>
        <w:tc>
          <w:tcPr>
            <w:tcW w:w="3865" w:type="dxa"/>
          </w:tcPr>
          <w:p>
            <w:pPr>
              <w:pStyle w:val="TableParagraph"/>
              <w:spacing w:before="24"/>
              <w:ind w:left="273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SOCE</w:t>
            </w:r>
          </w:p>
        </w:tc>
        <w:tc>
          <w:tcPr>
            <w:tcW w:w="1719" w:type="dxa"/>
          </w:tcPr>
          <w:p>
            <w:pPr>
              <w:pStyle w:val="TableParagraph"/>
              <w:spacing w:before="24"/>
              <w:ind w:left="124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(7.8,2.8)</w:t>
            </w:r>
          </w:p>
        </w:tc>
        <w:tc>
          <w:tcPr>
            <w:tcW w:w="1673" w:type="dxa"/>
          </w:tcPr>
          <w:p>
            <w:pPr>
              <w:pStyle w:val="TableParagraph"/>
              <w:spacing w:before="24"/>
              <w:ind w:left="117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(10.6,3.8)</w:t>
            </w:r>
          </w:p>
        </w:tc>
        <w:tc>
          <w:tcPr>
            <w:tcW w:w="1625" w:type="dxa"/>
          </w:tcPr>
          <w:p>
            <w:pPr>
              <w:pStyle w:val="TableParagraph"/>
              <w:spacing w:before="24"/>
              <w:ind w:left="153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(18.4,6.4)</w:t>
            </w:r>
          </w:p>
        </w:tc>
        <w:tc>
          <w:tcPr>
            <w:tcW w:w="1665" w:type="dxa"/>
          </w:tcPr>
          <w:p>
            <w:pPr>
              <w:pStyle w:val="TableParagraph"/>
              <w:spacing w:before="24"/>
              <w:ind w:left="14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(9.8,4.0)</w:t>
            </w:r>
          </w:p>
        </w:tc>
      </w:tr>
      <w:tr>
        <w:trPr>
          <w:trHeight w:val="279" w:hRule="atLeast"/>
        </w:trPr>
        <w:tc>
          <w:tcPr>
            <w:tcW w:w="3865" w:type="dxa"/>
          </w:tcPr>
          <w:p>
            <w:pPr>
              <w:pStyle w:val="TableParagraph"/>
              <w:spacing w:before="23"/>
              <w:ind w:left="273"/>
              <w:rPr>
                <w:sz w:val="20"/>
              </w:rPr>
            </w:pPr>
            <w:r>
              <w:rPr>
                <w:sz w:val="20"/>
              </w:rPr>
              <w:t>Before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SOCE</w:t>
            </w:r>
          </w:p>
        </w:tc>
        <w:tc>
          <w:tcPr>
            <w:tcW w:w="1719" w:type="dxa"/>
          </w:tcPr>
          <w:p>
            <w:pPr>
              <w:pStyle w:val="TableParagraph"/>
              <w:spacing w:before="23"/>
              <w:ind w:left="124"/>
              <w:rPr>
                <w:sz w:val="20"/>
              </w:rPr>
            </w:pPr>
            <w:r>
              <w:rPr>
                <w:sz w:val="20"/>
              </w:rPr>
              <w:t>58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(55.0,6.1)</w:t>
            </w:r>
          </w:p>
        </w:tc>
        <w:tc>
          <w:tcPr>
            <w:tcW w:w="1673" w:type="dxa"/>
          </w:tcPr>
          <w:p>
            <w:pPr>
              <w:pStyle w:val="TableParagraph"/>
              <w:spacing w:before="23"/>
              <w:ind w:left="117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(33.2,5.9)</w:t>
            </w:r>
          </w:p>
        </w:tc>
        <w:tc>
          <w:tcPr>
            <w:tcW w:w="1625" w:type="dxa"/>
          </w:tcPr>
          <w:p>
            <w:pPr>
              <w:pStyle w:val="TableParagraph"/>
              <w:spacing w:before="23"/>
              <w:ind w:left="153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(48.5,8.2)</w:t>
            </w:r>
          </w:p>
        </w:tc>
        <w:tc>
          <w:tcPr>
            <w:tcW w:w="1665" w:type="dxa"/>
          </w:tcPr>
          <w:p>
            <w:pPr>
              <w:pStyle w:val="TableParagraph"/>
              <w:spacing w:before="23"/>
              <w:ind w:left="148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(51.1,9.6)</w:t>
            </w:r>
          </w:p>
        </w:tc>
      </w:tr>
      <w:tr>
        <w:trPr>
          <w:trHeight w:val="405" w:hRule="atLeast"/>
        </w:trPr>
        <w:tc>
          <w:tcPr>
            <w:tcW w:w="3865" w:type="dxa"/>
          </w:tcPr>
          <w:p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suicide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behavior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during/after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SOCE</w:t>
            </w:r>
          </w:p>
        </w:tc>
        <w:tc>
          <w:tcPr>
            <w:tcW w:w="1719" w:type="dxa"/>
          </w:tcPr>
          <w:p>
            <w:pPr>
              <w:pStyle w:val="TableParagraph"/>
              <w:spacing w:before="19"/>
              <w:ind w:left="124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(28.6,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5.5) ***</w:t>
            </w:r>
          </w:p>
        </w:tc>
        <w:tc>
          <w:tcPr>
            <w:tcW w:w="1673" w:type="dxa"/>
          </w:tcPr>
          <w:p>
            <w:pPr>
              <w:pStyle w:val="TableParagraph"/>
              <w:spacing w:before="19"/>
              <w:ind w:left="117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(37.0,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6.0)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**</w:t>
            </w:r>
          </w:p>
        </w:tc>
        <w:tc>
          <w:tcPr>
            <w:tcW w:w="1625" w:type="dxa"/>
          </w:tcPr>
          <w:p>
            <w:pPr>
              <w:pStyle w:val="TableParagraph"/>
              <w:spacing w:before="19"/>
              <w:ind w:left="153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(31.9,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6.0)</w:t>
            </w:r>
          </w:p>
        </w:tc>
        <w:tc>
          <w:tcPr>
            <w:tcW w:w="1665" w:type="dxa"/>
          </w:tcPr>
          <w:p>
            <w:pPr>
              <w:pStyle w:val="TableParagraph"/>
              <w:spacing w:before="19"/>
              <w:ind w:left="148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(19.8,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4.8)</w:t>
            </w:r>
          </w:p>
        </w:tc>
      </w:tr>
      <w:tr>
        <w:trPr>
          <w:trHeight w:val="801" w:hRule="atLeast"/>
        </w:trPr>
        <w:tc>
          <w:tcPr>
            <w:tcW w:w="3865" w:type="dxa"/>
          </w:tcPr>
          <w:p>
            <w:pPr>
              <w:pStyle w:val="TableParagraph"/>
              <w:spacing w:before="149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(n=1410)</w:t>
            </w:r>
          </w:p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suicide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behavior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2"/>
              <w:ind w:left="124"/>
              <w:rPr>
                <w:sz w:val="20"/>
              </w:rPr>
            </w:pPr>
            <w:r>
              <w:rPr>
                <w:sz w:val="20"/>
              </w:rPr>
              <w:t>967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(73.4,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1.4)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2"/>
              <w:ind w:left="117"/>
              <w:rPr>
                <w:sz w:val="20"/>
              </w:rPr>
            </w:pPr>
            <w:r>
              <w:rPr>
                <w:sz w:val="20"/>
              </w:rPr>
              <w:t>763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(58.7,1.6)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2"/>
              <w:ind w:left="153"/>
              <w:rPr>
                <w:sz w:val="20"/>
              </w:rPr>
            </w:pPr>
            <w:r>
              <w:rPr>
                <w:sz w:val="20"/>
              </w:rPr>
              <w:t>524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(42.3,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1.7)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2"/>
              <w:ind w:left="148"/>
              <w:rPr>
                <w:sz w:val="20"/>
              </w:rPr>
            </w:pPr>
            <w:r>
              <w:rPr>
                <w:sz w:val="20"/>
              </w:rPr>
              <w:t>323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(26.6,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1.5)</w:t>
            </w:r>
          </w:p>
        </w:tc>
      </w:tr>
      <w:tr>
        <w:trPr>
          <w:trHeight w:val="667" w:hRule="atLeast"/>
        </w:trPr>
        <w:tc>
          <w:tcPr>
            <w:tcW w:w="3865" w:type="dxa"/>
          </w:tcPr>
          <w:p>
            <w:pPr>
              <w:pStyle w:val="TableParagraph"/>
              <w:spacing w:line="260" w:lineRule="atLeast" w:before="119"/>
              <w:ind w:left="273" w:right="480" w:hanging="166"/>
              <w:rPr>
                <w:sz w:val="20"/>
              </w:rPr>
            </w:pPr>
            <w:r>
              <w:rPr>
                <w:sz w:val="20"/>
              </w:rPr>
              <w:t>Percent repeated instances/attempts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Before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intervening SOCE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45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(79.4,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6.8)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(55.0,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10.6)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(46.3,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11.3)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(28.1,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12.2)</w:t>
            </w:r>
          </w:p>
        </w:tc>
      </w:tr>
      <w:tr>
        <w:trPr>
          <w:trHeight w:val="266" w:hRule="atLeast"/>
        </w:trPr>
        <w:tc>
          <w:tcPr>
            <w:tcW w:w="3865" w:type="dxa"/>
          </w:tcPr>
          <w:p>
            <w:pPr>
              <w:pStyle w:val="TableParagraph"/>
              <w:spacing w:before="14"/>
              <w:ind w:left="273"/>
              <w:rPr>
                <w:sz w:val="20"/>
              </w:rPr>
            </w:pPr>
            <w:r>
              <w:rPr>
                <w:sz w:val="20"/>
              </w:rPr>
              <w:t>During/After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SOCE</w:t>
            </w:r>
          </w:p>
        </w:tc>
        <w:tc>
          <w:tcPr>
            <w:tcW w:w="1719" w:type="dxa"/>
          </w:tcPr>
          <w:p>
            <w:pPr>
              <w:pStyle w:val="TableParagraph"/>
              <w:spacing w:before="14"/>
              <w:ind w:left="124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(56.5,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11.9)</w:t>
            </w:r>
          </w:p>
        </w:tc>
        <w:tc>
          <w:tcPr>
            <w:tcW w:w="1673" w:type="dxa"/>
          </w:tcPr>
          <w:p>
            <w:pPr>
              <w:pStyle w:val="TableParagraph"/>
              <w:spacing w:before="14"/>
              <w:ind w:left="11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(29.0,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9.6)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**</w:t>
            </w:r>
          </w:p>
        </w:tc>
        <w:tc>
          <w:tcPr>
            <w:tcW w:w="1625" w:type="dxa"/>
          </w:tcPr>
          <w:p>
            <w:pPr>
              <w:pStyle w:val="TableParagraph"/>
              <w:spacing w:before="14"/>
              <w:ind w:left="153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(50.3,11.9)</w:t>
            </w:r>
          </w:p>
        </w:tc>
        <w:tc>
          <w:tcPr>
            <w:tcW w:w="1665" w:type="dxa"/>
          </w:tcPr>
          <w:p>
            <w:pPr>
              <w:pStyle w:val="TableParagraph"/>
              <w:spacing w:before="14"/>
              <w:ind w:left="14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(9.8,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7.6)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**</w:t>
            </w:r>
          </w:p>
        </w:tc>
      </w:tr>
      <w:tr>
        <w:trPr>
          <w:trHeight w:val="244" w:hRule="atLeast"/>
        </w:trPr>
        <w:tc>
          <w:tcPr>
            <w:tcW w:w="3865" w:type="dxa"/>
          </w:tcPr>
          <w:p>
            <w:pPr>
              <w:pStyle w:val="TableParagraph"/>
              <w:spacing w:line="210" w:lineRule="exact" w:before="14"/>
              <w:ind w:left="27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SOCE</w:t>
            </w:r>
          </w:p>
        </w:tc>
        <w:tc>
          <w:tcPr>
            <w:tcW w:w="1719" w:type="dxa"/>
          </w:tcPr>
          <w:p>
            <w:pPr>
              <w:pStyle w:val="TableParagraph"/>
              <w:spacing w:line="196" w:lineRule="exact" w:before="28"/>
              <w:ind w:left="124"/>
              <w:rPr>
                <w:sz w:val="18"/>
              </w:rPr>
            </w:pPr>
            <w:r>
              <w:rPr>
                <w:sz w:val="18"/>
              </w:rPr>
              <w:t>691 (73.1,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1.8)</w:t>
            </w:r>
          </w:p>
        </w:tc>
        <w:tc>
          <w:tcPr>
            <w:tcW w:w="1673" w:type="dxa"/>
          </w:tcPr>
          <w:p>
            <w:pPr>
              <w:pStyle w:val="TableParagraph"/>
              <w:spacing w:line="196" w:lineRule="exact" w:before="28"/>
              <w:ind w:left="117"/>
              <w:rPr>
                <w:sz w:val="18"/>
              </w:rPr>
            </w:pPr>
            <w:r>
              <w:rPr>
                <w:sz w:val="18"/>
              </w:rPr>
              <w:t>451 (62.1,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2.1)</w:t>
            </w:r>
          </w:p>
        </w:tc>
        <w:tc>
          <w:tcPr>
            <w:tcW w:w="1625" w:type="dxa"/>
          </w:tcPr>
          <w:p>
            <w:pPr>
              <w:pStyle w:val="TableParagraph"/>
              <w:spacing w:line="196" w:lineRule="exact" w:before="28"/>
              <w:ind w:left="153"/>
              <w:rPr>
                <w:sz w:val="18"/>
              </w:rPr>
            </w:pPr>
            <w:r>
              <w:rPr>
                <w:sz w:val="18"/>
              </w:rPr>
              <w:t>265 (55.1,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2.6)</w:t>
            </w:r>
          </w:p>
        </w:tc>
        <w:tc>
          <w:tcPr>
            <w:tcW w:w="1665" w:type="dxa"/>
          </w:tcPr>
          <w:p>
            <w:pPr>
              <w:pStyle w:val="TableParagraph"/>
              <w:spacing w:line="196" w:lineRule="exact" w:before="28"/>
              <w:ind w:left="148"/>
              <w:rPr>
                <w:sz w:val="18"/>
              </w:rPr>
            </w:pPr>
            <w:r>
              <w:rPr>
                <w:sz w:val="18"/>
              </w:rPr>
              <w:t>104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(36.1,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3.3)</w:t>
            </w:r>
          </w:p>
        </w:tc>
      </w:tr>
    </w:tbl>
    <w:p>
      <w:pPr>
        <w:pStyle w:val="BodyText"/>
        <w:spacing w:before="1"/>
        <w:rPr>
          <w:rFonts w:ascii="Arial"/>
          <w:sz w:val="23"/>
        </w:rPr>
      </w:pPr>
      <w:r>
        <w:rPr/>
        <w:pict>
          <v:rect style="position:absolute;margin-left:47.880001pt;margin-top:14.473909pt;width:528.004025pt;height:.48pt;mso-position-horizontal-relative:page;mso-position-vertical-relative:paragraph;z-index:-15726080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spacing w:line="240" w:lineRule="auto" w:before="0"/>
        <w:ind w:left="984" w:right="873" w:firstLine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Percents</w:t>
      </w:r>
      <w:r>
        <w:rPr>
          <w:rFonts w:ascii="Arial" w:hAnsi="Arial"/>
          <w:spacing w:val="-4"/>
          <w:sz w:val="18"/>
        </w:rPr>
        <w:t> </w:t>
      </w:r>
      <w:r>
        <w:rPr>
          <w:rFonts w:ascii="Arial" w:hAnsi="Arial"/>
          <w:sz w:val="18"/>
        </w:rPr>
        <w:t>shown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are</w:t>
      </w:r>
      <w:r>
        <w:rPr>
          <w:rFonts w:ascii="Arial" w:hAnsi="Arial"/>
          <w:spacing w:val="-4"/>
          <w:sz w:val="18"/>
        </w:rPr>
        <w:t> </w:t>
      </w:r>
      <w:r>
        <w:rPr>
          <w:rFonts w:ascii="Arial" w:hAnsi="Arial"/>
          <w:sz w:val="18"/>
        </w:rPr>
        <w:t>population-weighted.</w:t>
      </w:r>
      <w:r>
        <w:rPr>
          <w:rFonts w:ascii="Arial" w:hAnsi="Arial"/>
          <w:spacing w:val="44"/>
          <w:sz w:val="18"/>
        </w:rPr>
        <w:t> </w:t>
      </w:r>
      <w:r>
        <w:rPr>
          <w:rFonts w:ascii="Arial" w:hAnsi="Arial"/>
          <w:sz w:val="18"/>
        </w:rPr>
        <w:t>“Before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SOCE”,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sz w:val="18"/>
        </w:rPr>
        <w:t>occurred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sz w:val="18"/>
        </w:rPr>
        <w:t>in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year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z w:val="18"/>
        </w:rPr>
        <w:t>before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SOCE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sz w:val="18"/>
        </w:rPr>
        <w:t>occurred;</w:t>
      </w:r>
      <w:r>
        <w:rPr>
          <w:rFonts w:ascii="Arial" w:hAnsi="Arial"/>
          <w:spacing w:val="-4"/>
          <w:sz w:val="18"/>
        </w:rPr>
        <w:t> </w:t>
      </w:r>
      <w:r>
        <w:rPr>
          <w:rFonts w:ascii="Arial" w:hAnsi="Arial"/>
          <w:sz w:val="18"/>
        </w:rPr>
        <w:t>“During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sz w:val="18"/>
        </w:rPr>
        <w:t>SOCE”,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sz w:val="18"/>
        </w:rPr>
        <w:t>occurred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in</w:t>
      </w:r>
      <w:r>
        <w:rPr>
          <w:rFonts w:ascii="Arial" w:hAnsi="Arial"/>
          <w:spacing w:val="-47"/>
          <w:sz w:val="18"/>
        </w:rPr>
        <w:t> </w:t>
      </w:r>
      <w:r>
        <w:rPr>
          <w:rFonts w:ascii="Arial" w:hAnsi="Arial"/>
          <w:sz w:val="18"/>
        </w:rPr>
        <w:t>the same year as SOCE; “Following SOCE”, occurred in a year more recent than SOCE; “Total % SOCE”, total suicidal behavior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z w:val="18"/>
        </w:rPr>
        <w:t>among SOCE participants expressed as a percent of SOCE participants; “During/After % SOCE”, suicidal behavior occurring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z w:val="18"/>
        </w:rPr>
        <w:t>during or after participating in SOCE expressed as a percent of SOCE participants; “% No SOCE”, total suicidal behavior among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z w:val="18"/>
        </w:rPr>
        <w:t>non-SOCE participants expressed as a percent of non-SOCE participants.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z w:val="18"/>
        </w:rPr>
        <w:t>For 2 cases data on age of SOCE was missing,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z w:val="18"/>
        </w:rPr>
        <w:t>reducing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sz w:val="18"/>
        </w:rPr>
        <w:t>usable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sz w:val="18"/>
        </w:rPr>
        <w:t>SOCE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N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z w:val="18"/>
        </w:rPr>
        <w:t>by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sz w:val="18"/>
        </w:rPr>
        <w:t>2.</w:t>
      </w:r>
      <w:r>
        <w:rPr>
          <w:rFonts w:ascii="Arial" w:hAnsi="Arial"/>
          <w:spacing w:val="49"/>
          <w:sz w:val="18"/>
        </w:rPr>
        <w:t> </w:t>
      </w:r>
      <w:r>
        <w:rPr>
          <w:rFonts w:ascii="Arial" w:hAnsi="Arial"/>
          <w:sz w:val="18"/>
        </w:rPr>
        <w:t>Different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z w:val="18"/>
        </w:rPr>
        <w:t>from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z w:val="18"/>
        </w:rPr>
        <w:t>corresponding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“No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z w:val="18"/>
        </w:rPr>
        <w:t>SOCE”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z w:val="18"/>
        </w:rPr>
        <w:t>category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by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sz w:val="18"/>
        </w:rPr>
        <w:t>t-test,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position w:val="6"/>
          <w:sz w:val="12"/>
        </w:rPr>
        <w:t>1</w:t>
      </w:r>
      <w:r>
        <w:rPr>
          <w:rFonts w:ascii="Arial" w:hAnsi="Arial"/>
          <w:sz w:val="18"/>
        </w:rPr>
        <w:t>P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z w:val="18"/>
        </w:rPr>
        <w:t>&lt;0.10;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z w:val="18"/>
        </w:rPr>
        <w:t>*P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z w:val="18"/>
        </w:rPr>
        <w:t>&lt;0.05;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z w:val="18"/>
        </w:rPr>
        <w:t>**P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z w:val="18"/>
        </w:rPr>
        <w:t>&lt;0.01;</w:t>
      </w:r>
      <w:r>
        <w:rPr>
          <w:rFonts w:ascii="Arial" w:hAnsi="Arial"/>
          <w:spacing w:val="-5"/>
          <w:sz w:val="18"/>
        </w:rPr>
        <w:t> </w:t>
      </w:r>
      <w:r>
        <w:rPr>
          <w:rFonts w:ascii="Arial" w:hAnsi="Arial"/>
          <w:sz w:val="18"/>
        </w:rPr>
        <w:t>***P</w:t>
      </w:r>
    </w:p>
    <w:p>
      <w:pPr>
        <w:spacing w:line="204" w:lineRule="exact" w:before="0"/>
        <w:ind w:left="984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&lt;0.001.</w:t>
      </w:r>
    </w:p>
    <w:p>
      <w:pPr>
        <w:spacing w:after="0" w:line="204" w:lineRule="exact"/>
        <w:jc w:val="left"/>
        <w:rPr>
          <w:rFonts w:ascii="Arial"/>
          <w:sz w:val="18"/>
        </w:rPr>
        <w:sectPr>
          <w:type w:val="continuous"/>
          <w:pgSz w:w="12240" w:h="15840"/>
          <w:pgMar w:header="722" w:footer="0" w:top="0" w:bottom="280" w:left="0" w:right="6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Heading1"/>
        <w:rPr>
          <w:rFonts w:ascii="Times New Roman"/>
        </w:rPr>
      </w:pPr>
      <w:r>
        <w:rPr>
          <w:rFonts w:ascii="Times New Roman"/>
        </w:rPr>
        <w:t>RESULTS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480" w:lineRule="auto" w:before="1"/>
        <w:ind w:left="1440" w:right="1490" w:firstLine="719"/>
      </w:pPr>
      <w:r>
        <w:rPr/>
        <w:t>Table 1 reports the background descriptive numbers. The percentages shown are</w:t>
      </w:r>
      <w:r>
        <w:rPr>
          <w:spacing w:val="1"/>
        </w:rPr>
        <w:t> </w:t>
      </w:r>
      <w:r>
        <w:rPr/>
        <w:t>population-weighted but not adjusted for covariates.</w:t>
      </w:r>
      <w:r>
        <w:rPr>
          <w:spacing w:val="1"/>
        </w:rPr>
        <w:t> </w:t>
      </w:r>
      <w:r>
        <w:rPr/>
        <w:t>Of the 89 SOCE participants who reported</w:t>
      </w:r>
      <w:r>
        <w:rPr>
          <w:spacing w:val="-57"/>
        </w:rPr>
        <w:t> </w:t>
      </w:r>
      <w:r>
        <w:rPr/>
        <w:t>ever having thoughts of suicide, 58 of them (65%) did so before they underwent SOCE.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half (48-53%) of the instances of suicide planning, intention and attempts also occurred before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respondent</w:t>
      </w:r>
      <w:r>
        <w:rPr>
          <w:spacing w:val="-1"/>
        </w:rPr>
        <w:t> </w:t>
      </w:r>
      <w:r>
        <w:rPr/>
        <w:t>had encountered</w:t>
      </w:r>
      <w:r>
        <w:rPr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/>
        <w:t>SOCE.</w:t>
      </w:r>
      <w:r>
        <w:rPr>
          <w:spacing w:val="58"/>
        </w:rPr>
        <w:t> </w:t>
      </w:r>
      <w:r>
        <w:rPr/>
        <w:t>The</w:t>
      </w:r>
      <w:r>
        <w:rPr>
          <w:spacing w:val="-3"/>
        </w:rPr>
        <w:t> </w:t>
      </w:r>
      <w:r>
        <w:rPr/>
        <w:t>lines</w:t>
      </w:r>
      <w:r>
        <w:rPr>
          <w:spacing w:val="-2"/>
        </w:rPr>
        <w:t> </w:t>
      </w:r>
      <w:r>
        <w:rPr/>
        <w:t>labeled</w:t>
      </w:r>
      <w:r>
        <w:rPr>
          <w:spacing w:val="-1"/>
        </w:rPr>
        <w:t> </w:t>
      </w:r>
      <w:r>
        <w:rPr/>
        <w:t>“Total</w:t>
      </w:r>
      <w:r>
        <w:rPr>
          <w:spacing w:val="-1"/>
        </w:rPr>
        <w:t> </w:t>
      </w:r>
      <w:r>
        <w:rPr/>
        <w:t>suicide</w:t>
      </w:r>
      <w:r>
        <w:rPr>
          <w:spacing w:val="-1"/>
        </w:rPr>
        <w:t> </w:t>
      </w:r>
      <w:r>
        <w:rPr/>
        <w:t>behavior”</w:t>
      </w:r>
      <w:r>
        <w:rPr>
          <w:spacing w:val="-2"/>
        </w:rPr>
        <w:t> </w:t>
      </w:r>
      <w:r>
        <w:rPr/>
        <w:t>replicate</w:t>
      </w:r>
      <w:r>
        <w:rPr>
          <w:spacing w:val="-57"/>
        </w:rPr>
        <w:t> </w:t>
      </w:r>
      <w:r>
        <w:rPr/>
        <w:t>replicate Blosnich et al.’s categorization by including suicidal behavior that occurred prior to</w:t>
      </w:r>
      <w:r>
        <w:rPr>
          <w:spacing w:val="1"/>
        </w:rPr>
        <w:t> </w:t>
      </w:r>
      <w:r>
        <w:rPr/>
        <w:t>SOCE, while the line “Total suicide behavior during/after SOCE” corrects the metric for SOCE</w:t>
      </w:r>
      <w:r>
        <w:rPr>
          <w:spacing w:val="1"/>
        </w:rPr>
        <w:t> </w:t>
      </w:r>
      <w:r>
        <w:rPr/>
        <w:t>participants to include only suicidal behavior that occurred during or after the respondent</w:t>
      </w:r>
      <w:r>
        <w:rPr>
          <w:spacing w:val="1"/>
        </w:rPr>
        <w:t> </w:t>
      </w:r>
      <w:r>
        <w:rPr/>
        <w:t>actually underwent SOCE.</w:t>
      </w:r>
      <w:r>
        <w:rPr>
          <w:spacing w:val="1"/>
        </w:rPr>
        <w:t> </w:t>
      </w:r>
      <w:r>
        <w:rPr/>
        <w:t>For every type of suicidal behavior, the former metric inflates the</w:t>
      </w:r>
      <w:r>
        <w:rPr>
          <w:spacing w:val="1"/>
        </w:rPr>
        <w:t> </w:t>
      </w:r>
      <w:r>
        <w:rPr/>
        <w:t>prevalence among SOCE participants to a rate higher than that among those who have never</w:t>
      </w:r>
      <w:r>
        <w:rPr>
          <w:spacing w:val="1"/>
        </w:rPr>
        <w:t> </w:t>
      </w:r>
      <w:r>
        <w:rPr/>
        <w:t>undergone SOCE, but with the corrected measure the prevalence in the SOCE group is lower</w:t>
      </w:r>
      <w:r>
        <w:rPr>
          <w:spacing w:val="1"/>
        </w:rPr>
        <w:t> </w:t>
      </w:r>
      <w:r>
        <w:rPr/>
        <w:t>than that in the non-SOCE group for suicide ideation and planning, with lower but non-</w:t>
      </w:r>
      <w:r>
        <w:rPr>
          <w:spacing w:val="1"/>
        </w:rPr>
        <w:t> </w:t>
      </w:r>
      <w:r>
        <w:rPr/>
        <w:t>significant</w:t>
      </w:r>
      <w:r>
        <w:rPr>
          <w:spacing w:val="-1"/>
        </w:rPr>
        <w:t> </w:t>
      </w:r>
      <w:r>
        <w:rPr/>
        <w:t>samples</w:t>
      </w:r>
      <w:r>
        <w:rPr>
          <w:spacing w:val="2"/>
        </w:rPr>
        <w:t> </w:t>
      </w:r>
      <w:r>
        <w:rPr/>
        <w:t>estimates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suicide</w:t>
      </w:r>
      <w:r>
        <w:rPr>
          <w:spacing w:val="-1"/>
        </w:rPr>
        <w:t> </w:t>
      </w:r>
      <w:r>
        <w:rPr/>
        <w:t>intention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attempt.</w:t>
      </w:r>
    </w:p>
    <w:p>
      <w:pPr>
        <w:pStyle w:val="BodyText"/>
        <w:spacing w:line="480" w:lineRule="auto" w:before="1"/>
        <w:ind w:left="1440" w:right="1415" w:firstLine="719"/>
      </w:pPr>
      <w:r>
        <w:rPr/>
        <w:t>Table 2 compares Blosnich et al.’s logistic regression models for the association of ACEs</w:t>
      </w:r>
      <w:r>
        <w:rPr>
          <w:spacing w:val="-57"/>
        </w:rPr>
        <w:t> </w:t>
      </w:r>
      <w:r>
        <w:rPr/>
        <w:t>and SOCE with suicide morbidity (shown in Table 4 of that study) with identical models using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corrected</w:t>
      </w:r>
      <w:r>
        <w:rPr>
          <w:spacing w:val="1"/>
        </w:rPr>
        <w:t> </w:t>
      </w:r>
      <w:r>
        <w:rPr/>
        <w:t>category</w:t>
      </w:r>
      <w:r>
        <w:rPr>
          <w:spacing w:val="-6"/>
        </w:rPr>
        <w:t> </w:t>
      </w:r>
      <w:r>
        <w:rPr/>
        <w:t>of</w:t>
      </w:r>
      <w:r>
        <w:rPr>
          <w:spacing w:val="1"/>
        </w:rPr>
        <w:t> </w:t>
      </w:r>
      <w:r>
        <w:rPr/>
        <w:t>“Experienced</w:t>
      </w:r>
      <w:r>
        <w:rPr>
          <w:spacing w:val="-1"/>
        </w:rPr>
        <w:t> </w:t>
      </w:r>
      <w:r>
        <w:rPr/>
        <w:t>SOCE”.</w:t>
      </w:r>
      <w:r>
        <w:rPr>
          <w:spacing w:val="58"/>
        </w:rPr>
        <w:t> </w:t>
      </w:r>
      <w:r>
        <w:rPr/>
        <w:t>The</w:t>
      </w:r>
      <w:r>
        <w:rPr>
          <w:spacing w:val="-2"/>
        </w:rPr>
        <w:t> </w:t>
      </w:r>
      <w:r>
        <w:rPr/>
        <w:t>AOR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suicidal</w:t>
      </w:r>
      <w:r>
        <w:rPr>
          <w:spacing w:val="-1"/>
        </w:rPr>
        <w:t> </w:t>
      </w:r>
      <w:r>
        <w:rPr/>
        <w:t>ideation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replication</w:t>
      </w:r>
      <w:r>
        <w:rPr>
          <w:spacing w:val="-57"/>
        </w:rPr>
        <w:t> </w:t>
      </w:r>
      <w:r>
        <w:rPr/>
        <w:t>model differs slightly from that reported by Blosnich et al. due to missing data on age at SOCE.</w:t>
      </w:r>
      <w:r>
        <w:rPr>
          <w:spacing w:val="1"/>
        </w:rPr>
        <w:t> </w:t>
      </w:r>
      <w:r>
        <w:rPr/>
        <w:t>In the corrected models suicidal ideation, planning and intention are significantly reduced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SOCE</w:t>
      </w:r>
      <w:r>
        <w:rPr>
          <w:spacing w:val="5"/>
        </w:rPr>
        <w:t> </w:t>
      </w:r>
      <w:r>
        <w:rPr/>
        <w:t>treatment</w:t>
      </w:r>
      <w:r>
        <w:rPr>
          <w:spacing w:val="4"/>
        </w:rPr>
        <w:t> </w:t>
      </w:r>
      <w:r>
        <w:rPr/>
        <w:t>compared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sexual</w:t>
      </w:r>
      <w:r>
        <w:rPr>
          <w:spacing w:val="4"/>
        </w:rPr>
        <w:t> </w:t>
      </w:r>
      <w:r>
        <w:rPr/>
        <w:t>minorities</w:t>
      </w:r>
      <w:r>
        <w:rPr>
          <w:spacing w:val="5"/>
        </w:rPr>
        <w:t> </w:t>
      </w:r>
      <w:r>
        <w:rPr/>
        <w:t>who</w:t>
      </w:r>
      <w:r>
        <w:rPr>
          <w:spacing w:val="4"/>
        </w:rPr>
        <w:t> </w:t>
      </w:r>
      <w:r>
        <w:rPr/>
        <w:t>did</w:t>
      </w:r>
      <w:r>
        <w:rPr>
          <w:spacing w:val="5"/>
        </w:rPr>
        <w:t> </w:t>
      </w:r>
      <w:r>
        <w:rPr/>
        <w:t>not</w:t>
      </w:r>
      <w:r>
        <w:rPr>
          <w:spacing w:val="4"/>
        </w:rPr>
        <w:t> </w:t>
      </w:r>
      <w:r>
        <w:rPr/>
        <w:t>undergo</w:t>
      </w:r>
      <w:r>
        <w:rPr>
          <w:spacing w:val="5"/>
        </w:rPr>
        <w:t> </w:t>
      </w:r>
      <w:r>
        <w:rPr/>
        <w:t>SOCE.</w:t>
      </w:r>
      <w:r>
        <w:rPr>
          <w:spacing w:val="1"/>
        </w:rPr>
        <w:t> </w:t>
      </w:r>
      <w:r>
        <w:rPr/>
        <w:t>Estimated</w:t>
      </w:r>
      <w:r>
        <w:rPr>
          <w:spacing w:val="-1"/>
        </w:rPr>
        <w:t> </w:t>
      </w:r>
      <w:r>
        <w:rPr/>
        <w:t>suicide attempts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also reduced,</w:t>
      </w:r>
      <w:r>
        <w:rPr>
          <w:spacing w:val="-1"/>
        </w:rPr>
        <w:t> </w:t>
      </w:r>
      <w:r>
        <w:rPr/>
        <w:t>but the</w:t>
      </w:r>
      <w:r>
        <w:rPr>
          <w:spacing w:val="-1"/>
        </w:rPr>
        <w:t> </w:t>
      </w:r>
      <w:r>
        <w:rPr/>
        <w:t>estimate</w:t>
      </w:r>
      <w:r>
        <w:rPr>
          <w:spacing w:val="-2"/>
        </w:rPr>
        <w:t> </w:t>
      </w:r>
      <w:r>
        <w:rPr/>
        <w:t>is not</w:t>
      </w:r>
      <w:r>
        <w:rPr>
          <w:spacing w:val="3"/>
        </w:rPr>
        <w:t> </w:t>
      </w:r>
      <w:r>
        <w:rPr/>
        <w:t>statistically</w:t>
      </w:r>
      <w:r>
        <w:rPr>
          <w:spacing w:val="-5"/>
        </w:rPr>
        <w:t> </w:t>
      </w:r>
      <w:r>
        <w:rPr/>
        <w:t>significant.</w:t>
      </w:r>
    </w:p>
    <w:p>
      <w:pPr>
        <w:spacing w:after="0" w:line="480" w:lineRule="auto"/>
        <w:sectPr>
          <w:pgSz w:w="12240" w:h="15840"/>
          <w:pgMar w:header="722" w:footer="0" w:top="980" w:bottom="280" w:left="0" w:right="60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spacing w:before="92" w:after="10"/>
        <w:ind w:left="1529" w:right="1408"/>
      </w:pPr>
      <w:r>
        <w:rPr/>
        <w:t>Table</w:t>
      </w:r>
      <w:r>
        <w:rPr>
          <w:spacing w:val="-1"/>
        </w:rPr>
        <w:t> </w:t>
      </w:r>
      <w:r>
        <w:rPr/>
        <w:t>2.</w:t>
      </w:r>
      <w:r>
        <w:rPr>
          <w:spacing w:val="1"/>
        </w:rPr>
        <w:t> </w:t>
      </w:r>
      <w:r>
        <w:rPr/>
        <w:t>Adjusted</w:t>
      </w:r>
      <w:r>
        <w:rPr>
          <w:spacing w:val="-2"/>
        </w:rPr>
        <w:t> </w:t>
      </w:r>
      <w:r>
        <w:rPr/>
        <w:t>odds</w:t>
      </w:r>
      <w:r>
        <w:rPr>
          <w:spacing w:val="-1"/>
        </w:rPr>
        <w:t> </w:t>
      </w:r>
      <w:r>
        <w:rPr/>
        <w:t>ratios</w:t>
      </w:r>
      <w:r>
        <w:rPr>
          <w:spacing w:val="-2"/>
        </w:rPr>
        <w:t> </w:t>
      </w:r>
      <w:r>
        <w:rPr/>
        <w:t>(AORs)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most</w:t>
      </w:r>
      <w:r>
        <w:rPr>
          <w:spacing w:val="-2"/>
        </w:rPr>
        <w:t> </w:t>
      </w:r>
      <w:r>
        <w:rPr/>
        <w:t>recent</w:t>
      </w:r>
      <w:r>
        <w:rPr>
          <w:spacing w:val="-3"/>
        </w:rPr>
        <w:t> </w:t>
      </w:r>
      <w:r>
        <w:rPr/>
        <w:t>suicide</w:t>
      </w:r>
      <w:r>
        <w:rPr>
          <w:spacing w:val="-3"/>
        </w:rPr>
        <w:t> </w:t>
      </w:r>
      <w:r>
        <w:rPr/>
        <w:t>morbidity</w:t>
      </w:r>
      <w:r>
        <w:rPr>
          <w:spacing w:val="-6"/>
        </w:rPr>
        <w:t> </w:t>
      </w:r>
      <w:r>
        <w:rPr/>
        <w:t>following</w:t>
      </w:r>
      <w:r>
        <w:rPr>
          <w:spacing w:val="-64"/>
        </w:rPr>
        <w:t> </w:t>
      </w:r>
      <w:r>
        <w:rPr/>
        <w:t>SOCE: Probability Sample of Sexual Minorities, United States, 2016-2018</w:t>
      </w:r>
      <w:r>
        <w:rPr>
          <w:spacing w:val="1"/>
        </w:rPr>
        <w:t> </w:t>
      </w:r>
      <w:r>
        <w:rPr/>
        <w:t>(N=1,518)</w:t>
      </w:r>
    </w:p>
    <w:tbl>
      <w:tblPr>
        <w:tblW w:w="0" w:type="auto"/>
        <w:jc w:val="left"/>
        <w:tblInd w:w="1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0"/>
        <w:gridCol w:w="1621"/>
        <w:gridCol w:w="1596"/>
        <w:gridCol w:w="1510"/>
        <w:gridCol w:w="1416"/>
      </w:tblGrid>
      <w:tr>
        <w:trPr>
          <w:trHeight w:val="411" w:hRule="atLeast"/>
        </w:trPr>
        <w:tc>
          <w:tcPr>
            <w:tcW w:w="341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557" w:right="403" w:firstLine="2"/>
              <w:rPr>
                <w:sz w:val="18"/>
              </w:rPr>
            </w:pPr>
            <w:r>
              <w:rPr>
                <w:sz w:val="18"/>
              </w:rPr>
              <w:t>Suicidal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Ideation</w:t>
            </w:r>
          </w:p>
        </w:tc>
        <w:tc>
          <w:tcPr>
            <w:tcW w:w="15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480" w:right="395" w:firstLine="55"/>
              <w:rPr>
                <w:sz w:val="18"/>
              </w:rPr>
            </w:pPr>
            <w:r>
              <w:rPr>
                <w:sz w:val="18"/>
              </w:rPr>
              <w:t>Suicide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Planning</w:t>
            </w:r>
          </w:p>
        </w:tc>
        <w:tc>
          <w:tcPr>
            <w:tcW w:w="15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420" w:right="379" w:firstLine="48"/>
              <w:rPr>
                <w:sz w:val="18"/>
              </w:rPr>
            </w:pPr>
            <w:r>
              <w:rPr>
                <w:sz w:val="18"/>
              </w:rPr>
              <w:t>Suicide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Intention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6" w:lineRule="exact"/>
              <w:ind w:left="386" w:right="389" w:firstLine="12"/>
              <w:rPr>
                <w:sz w:val="18"/>
              </w:rPr>
            </w:pPr>
            <w:r>
              <w:rPr>
                <w:sz w:val="18"/>
              </w:rPr>
              <w:t>Suicide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Attempt</w:t>
            </w:r>
          </w:p>
        </w:tc>
      </w:tr>
      <w:tr>
        <w:trPr>
          <w:trHeight w:val="199" w:hRule="atLeast"/>
        </w:trPr>
        <w:tc>
          <w:tcPr>
            <w:tcW w:w="341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AOR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(95% CI)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left="257"/>
              <w:rPr>
                <w:sz w:val="18"/>
              </w:rPr>
            </w:pPr>
            <w:r>
              <w:rPr>
                <w:sz w:val="18"/>
              </w:rPr>
              <w:t>AOR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(95% CI)</w:t>
            </w:r>
          </w:p>
        </w:tc>
        <w:tc>
          <w:tcPr>
            <w:tcW w:w="151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left="153"/>
              <w:rPr>
                <w:sz w:val="18"/>
              </w:rPr>
            </w:pPr>
            <w:r>
              <w:rPr>
                <w:sz w:val="18"/>
              </w:rPr>
              <w:t>AOR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(95% CI)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left="84"/>
              <w:rPr>
                <w:sz w:val="18"/>
              </w:rPr>
            </w:pPr>
            <w:r>
              <w:rPr>
                <w:sz w:val="18"/>
              </w:rPr>
              <w:t>AOR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(95% CI)</w:t>
            </w:r>
          </w:p>
        </w:tc>
      </w:tr>
      <w:tr>
        <w:trPr>
          <w:trHeight w:val="320" w:hRule="atLeast"/>
        </w:trPr>
        <w:tc>
          <w:tcPr>
            <w:tcW w:w="34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2"/>
              <w:ind w:left="108"/>
              <w:rPr>
                <w:sz w:val="20"/>
              </w:rPr>
            </w:pPr>
            <w:r>
              <w:rPr>
                <w:sz w:val="20"/>
              </w:rPr>
              <w:t>Experienced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(n=1491)</w:t>
            </w:r>
          </w:p>
        </w:tc>
        <w:tc>
          <w:tcPr>
            <w:tcW w:w="162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9" w:hRule="atLeast"/>
        </w:trPr>
        <w:tc>
          <w:tcPr>
            <w:tcW w:w="3410" w:type="dxa"/>
          </w:tcPr>
          <w:p>
            <w:pPr>
              <w:pStyle w:val="TableParagraph"/>
              <w:spacing w:before="41"/>
              <w:ind w:left="273"/>
              <w:rPr>
                <w:sz w:val="20"/>
              </w:rPr>
            </w:pPr>
            <w:r>
              <w:rPr>
                <w:sz w:val="20"/>
              </w:rPr>
              <w:t>Per Blosnich 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al.</w:t>
            </w:r>
          </w:p>
        </w:tc>
        <w:tc>
          <w:tcPr>
            <w:tcW w:w="1621" w:type="dxa"/>
          </w:tcPr>
          <w:p>
            <w:pPr>
              <w:pStyle w:val="TableParagraph"/>
              <w:spacing w:before="55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1.93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(1.02,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3.67)</w:t>
            </w:r>
          </w:p>
        </w:tc>
        <w:tc>
          <w:tcPr>
            <w:tcW w:w="1596" w:type="dxa"/>
          </w:tcPr>
          <w:p>
            <w:pPr>
              <w:pStyle w:val="TableParagraph"/>
              <w:spacing w:before="55"/>
              <w:ind w:left="170"/>
              <w:rPr>
                <w:sz w:val="18"/>
              </w:rPr>
            </w:pPr>
            <w:r>
              <w:rPr>
                <w:sz w:val="18"/>
              </w:rPr>
              <w:t>1.75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(1.01,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3.06)</w:t>
            </w:r>
          </w:p>
        </w:tc>
        <w:tc>
          <w:tcPr>
            <w:tcW w:w="1510" w:type="dxa"/>
          </w:tcPr>
          <w:p>
            <w:pPr>
              <w:pStyle w:val="TableParagraph"/>
              <w:spacing w:before="55"/>
              <w:ind w:left="105"/>
              <w:rPr>
                <w:sz w:val="18"/>
              </w:rPr>
            </w:pPr>
            <w:r>
              <w:rPr>
                <w:sz w:val="18"/>
              </w:rPr>
              <w:t>2.50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(1.56,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4.01)</w:t>
            </w:r>
          </w:p>
        </w:tc>
        <w:tc>
          <w:tcPr>
            <w:tcW w:w="1416" w:type="dxa"/>
          </w:tcPr>
          <w:p>
            <w:pPr>
              <w:pStyle w:val="TableParagraph"/>
              <w:spacing w:before="55"/>
              <w:ind w:left="84"/>
              <w:rPr>
                <w:sz w:val="18"/>
              </w:rPr>
            </w:pPr>
            <w:r>
              <w:rPr>
                <w:sz w:val="18"/>
              </w:rPr>
              <w:t>1.75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(.99,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3.08)</w:t>
            </w:r>
          </w:p>
        </w:tc>
      </w:tr>
      <w:tr>
        <w:trPr>
          <w:trHeight w:val="270" w:hRule="atLeast"/>
        </w:trPr>
        <w:tc>
          <w:tcPr>
            <w:tcW w:w="3410" w:type="dxa"/>
          </w:tcPr>
          <w:p>
            <w:pPr>
              <w:pStyle w:val="TableParagraph"/>
              <w:spacing w:line="210" w:lineRule="exact" w:before="41"/>
              <w:ind w:left="273"/>
              <w:rPr>
                <w:sz w:val="20"/>
              </w:rPr>
            </w:pPr>
            <w:r>
              <w:rPr>
                <w:sz w:val="20"/>
              </w:rPr>
              <w:t>Corrected</w:t>
            </w:r>
          </w:p>
        </w:tc>
        <w:tc>
          <w:tcPr>
            <w:tcW w:w="1621" w:type="dxa"/>
          </w:tcPr>
          <w:p>
            <w:pPr>
              <w:pStyle w:val="TableParagraph"/>
              <w:spacing w:line="196" w:lineRule="exact" w:before="55"/>
              <w:ind w:left="171"/>
              <w:rPr>
                <w:sz w:val="18"/>
              </w:rPr>
            </w:pPr>
            <w:r>
              <w:rPr>
                <w:sz w:val="18"/>
              </w:rPr>
              <w:t>.11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(.06,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.21)</w:t>
            </w:r>
          </w:p>
        </w:tc>
        <w:tc>
          <w:tcPr>
            <w:tcW w:w="1596" w:type="dxa"/>
          </w:tcPr>
          <w:p>
            <w:pPr>
              <w:pStyle w:val="TableParagraph"/>
              <w:spacing w:line="196" w:lineRule="exact" w:before="55"/>
              <w:ind w:left="321"/>
              <w:rPr>
                <w:sz w:val="18"/>
              </w:rPr>
            </w:pPr>
            <w:r>
              <w:rPr>
                <w:sz w:val="18"/>
              </w:rPr>
              <w:t>.34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(.20,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.59)</w:t>
            </w:r>
          </w:p>
        </w:tc>
        <w:tc>
          <w:tcPr>
            <w:tcW w:w="1510" w:type="dxa"/>
          </w:tcPr>
          <w:p>
            <w:pPr>
              <w:pStyle w:val="TableParagraph"/>
              <w:spacing w:line="196" w:lineRule="exact" w:before="55"/>
              <w:ind w:left="105"/>
              <w:rPr>
                <w:sz w:val="18"/>
              </w:rPr>
            </w:pPr>
            <w:r>
              <w:rPr>
                <w:sz w:val="18"/>
              </w:rPr>
              <w:t>.55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(.31,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.97)</w:t>
            </w:r>
          </w:p>
        </w:tc>
        <w:tc>
          <w:tcPr>
            <w:tcW w:w="1416" w:type="dxa"/>
          </w:tcPr>
          <w:p>
            <w:pPr>
              <w:pStyle w:val="TableParagraph"/>
              <w:spacing w:line="196" w:lineRule="exact" w:before="55"/>
              <w:ind w:left="84"/>
              <w:rPr>
                <w:sz w:val="18"/>
              </w:rPr>
            </w:pPr>
            <w:r>
              <w:rPr>
                <w:sz w:val="18"/>
              </w:rPr>
              <w:t>.59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(0.30,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1.14)</w:t>
            </w:r>
          </w:p>
        </w:tc>
      </w:tr>
      <w:tr>
        <w:trPr>
          <w:trHeight w:val="765" w:hRule="atLeast"/>
        </w:trPr>
        <w:tc>
          <w:tcPr>
            <w:tcW w:w="341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1"/>
              <w:ind w:left="328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child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(under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18)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221"/>
              <w:rPr>
                <w:sz w:val="18"/>
              </w:rPr>
            </w:pPr>
            <w:r>
              <w:rPr>
                <w:sz w:val="18"/>
              </w:rPr>
              <w:t>.19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(.08,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.46)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.66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(.32,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1.33)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1.26 (.61,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2.61)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1.36 (.63,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2.95)</w:t>
            </w:r>
          </w:p>
        </w:tc>
      </w:tr>
      <w:tr>
        <w:trPr>
          <w:trHeight w:val="314" w:hRule="atLeast"/>
        </w:trPr>
        <w:tc>
          <w:tcPr>
            <w:tcW w:w="3410" w:type="dxa"/>
          </w:tcPr>
          <w:p>
            <w:pPr>
              <w:pStyle w:val="TableParagraph"/>
              <w:spacing w:line="210" w:lineRule="exact" w:before="84"/>
              <w:ind w:left="328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adult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(18 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older)</w:t>
            </w:r>
          </w:p>
        </w:tc>
        <w:tc>
          <w:tcPr>
            <w:tcW w:w="1621" w:type="dxa"/>
          </w:tcPr>
          <w:p>
            <w:pPr>
              <w:pStyle w:val="TableParagraph"/>
              <w:spacing w:line="196" w:lineRule="exact" w:before="98"/>
              <w:ind w:left="221"/>
              <w:rPr>
                <w:sz w:val="18"/>
              </w:rPr>
            </w:pPr>
            <w:r>
              <w:rPr>
                <w:sz w:val="18"/>
              </w:rPr>
              <w:t>.09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(.04,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.22)</w:t>
            </w:r>
          </w:p>
        </w:tc>
        <w:tc>
          <w:tcPr>
            <w:tcW w:w="1596" w:type="dxa"/>
          </w:tcPr>
          <w:p>
            <w:pPr>
              <w:pStyle w:val="TableParagraph"/>
              <w:spacing w:line="196" w:lineRule="exact" w:before="98"/>
              <w:ind w:left="129"/>
              <w:rPr>
                <w:sz w:val="18"/>
              </w:rPr>
            </w:pPr>
            <w:r>
              <w:rPr>
                <w:sz w:val="18"/>
              </w:rPr>
              <w:t>.20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(.09,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.47)</w:t>
            </w:r>
          </w:p>
        </w:tc>
        <w:tc>
          <w:tcPr>
            <w:tcW w:w="1510" w:type="dxa"/>
          </w:tcPr>
          <w:p>
            <w:pPr>
              <w:pStyle w:val="TableParagraph"/>
              <w:spacing w:line="196" w:lineRule="exact" w:before="98"/>
              <w:ind w:left="153"/>
              <w:rPr>
                <w:sz w:val="18"/>
              </w:rPr>
            </w:pPr>
            <w:r>
              <w:rPr>
                <w:sz w:val="18"/>
              </w:rPr>
              <w:t>.21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(.08,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.52)</w:t>
            </w:r>
          </w:p>
        </w:tc>
        <w:tc>
          <w:tcPr>
            <w:tcW w:w="1416" w:type="dxa"/>
          </w:tcPr>
          <w:p>
            <w:pPr>
              <w:pStyle w:val="TableParagraph"/>
              <w:spacing w:line="196" w:lineRule="exact" w:before="98"/>
              <w:ind w:left="84"/>
              <w:rPr>
                <w:sz w:val="18"/>
              </w:rPr>
            </w:pPr>
            <w:r>
              <w:rPr>
                <w:sz w:val="18"/>
              </w:rPr>
              <w:t>.14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(.04,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.43)</w:t>
            </w:r>
          </w:p>
        </w:tc>
      </w:tr>
      <w:tr>
        <w:trPr>
          <w:trHeight w:val="928" w:hRule="atLeast"/>
        </w:trPr>
        <w:tc>
          <w:tcPr>
            <w:tcW w:w="341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0" w:lineRule="atLeast" w:before="129"/>
              <w:ind w:left="391" w:right="157" w:hanging="284"/>
              <w:rPr>
                <w:sz w:val="20"/>
              </w:rPr>
            </w:pPr>
            <w:r>
              <w:rPr>
                <w:sz w:val="20"/>
              </w:rPr>
              <w:t>Suicide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attempts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behavior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intervening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(SE)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3"/>
              <w:ind w:left="504"/>
              <w:rPr>
                <w:sz w:val="20"/>
              </w:rPr>
            </w:pPr>
            <w:r>
              <w:rPr>
                <w:sz w:val="20"/>
              </w:rPr>
              <w:t>8.0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(5.3)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3"/>
              <w:ind w:left="458"/>
              <w:rPr>
                <w:sz w:val="20"/>
              </w:rPr>
            </w:pPr>
            <w:r>
              <w:rPr>
                <w:sz w:val="20"/>
              </w:rPr>
              <w:t>4.7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(3.7)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3"/>
              <w:ind w:left="153"/>
              <w:rPr>
                <w:sz w:val="20"/>
              </w:rPr>
            </w:pPr>
            <w:r>
              <w:rPr>
                <w:sz w:val="20"/>
              </w:rPr>
              <w:t>5.0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(3.9)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3"/>
              <w:ind w:left="84"/>
              <w:rPr>
                <w:sz w:val="20"/>
              </w:rPr>
            </w:pPr>
            <w:r>
              <w:rPr>
                <w:sz w:val="20"/>
              </w:rPr>
              <w:t>26.4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(11.1)</w:t>
            </w:r>
          </w:p>
        </w:tc>
      </w:tr>
      <w:tr>
        <w:trPr>
          <w:trHeight w:val="338" w:hRule="atLeast"/>
        </w:trPr>
        <w:tc>
          <w:tcPr>
            <w:tcW w:w="3410" w:type="dxa"/>
          </w:tcPr>
          <w:p>
            <w:pPr>
              <w:pStyle w:val="TableParagraph"/>
              <w:spacing w:before="32"/>
              <w:ind w:left="391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(SE)</w:t>
            </w:r>
          </w:p>
        </w:tc>
        <w:tc>
          <w:tcPr>
            <w:tcW w:w="1621" w:type="dxa"/>
          </w:tcPr>
          <w:p>
            <w:pPr>
              <w:pStyle w:val="TableParagraph"/>
              <w:spacing w:before="32"/>
              <w:ind w:left="449"/>
              <w:rPr>
                <w:sz w:val="20"/>
              </w:rPr>
            </w:pPr>
            <w:r>
              <w:rPr>
                <w:sz w:val="20"/>
              </w:rPr>
              <w:t>35.5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(1.9)</w:t>
            </w:r>
          </w:p>
        </w:tc>
        <w:tc>
          <w:tcPr>
            <w:tcW w:w="1596" w:type="dxa"/>
          </w:tcPr>
          <w:p>
            <w:pPr>
              <w:pStyle w:val="TableParagraph"/>
              <w:spacing w:before="32"/>
              <w:ind w:left="403"/>
              <w:rPr>
                <w:sz w:val="20"/>
              </w:rPr>
            </w:pPr>
            <w:r>
              <w:rPr>
                <w:sz w:val="20"/>
              </w:rPr>
              <w:t>43.1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(2.2)</w:t>
            </w:r>
          </w:p>
        </w:tc>
        <w:tc>
          <w:tcPr>
            <w:tcW w:w="1510" w:type="dxa"/>
          </w:tcPr>
          <w:p>
            <w:pPr>
              <w:pStyle w:val="TableParagraph"/>
              <w:spacing w:before="32"/>
              <w:ind w:left="153"/>
              <w:rPr>
                <w:sz w:val="20"/>
              </w:rPr>
            </w:pPr>
            <w:r>
              <w:rPr>
                <w:sz w:val="20"/>
              </w:rPr>
              <w:t>57.3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(2.7)</w:t>
            </w:r>
          </w:p>
        </w:tc>
        <w:tc>
          <w:tcPr>
            <w:tcW w:w="1416" w:type="dxa"/>
          </w:tcPr>
          <w:p>
            <w:pPr>
              <w:pStyle w:val="TableParagraph"/>
              <w:spacing w:before="32"/>
              <w:ind w:left="84"/>
              <w:rPr>
                <w:sz w:val="20"/>
              </w:rPr>
            </w:pPr>
            <w:r>
              <w:rPr>
                <w:sz w:val="20"/>
              </w:rPr>
              <w:t>36.3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(3.3)</w:t>
            </w:r>
          </w:p>
        </w:tc>
      </w:tr>
      <w:tr>
        <w:trPr>
          <w:trHeight w:val="298" w:hRule="atLeast"/>
        </w:trPr>
        <w:tc>
          <w:tcPr>
            <w:tcW w:w="3410" w:type="dxa"/>
          </w:tcPr>
          <w:p>
            <w:pPr>
              <w:pStyle w:val="TableParagraph"/>
              <w:spacing w:line="210" w:lineRule="exact" w:before="68"/>
              <w:ind w:left="391"/>
              <w:rPr>
                <w:sz w:val="20"/>
              </w:rPr>
            </w:pPr>
            <w:r>
              <w:rPr>
                <w:sz w:val="20"/>
              </w:rPr>
              <w:t>AOR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(95% CI)</w:t>
            </w:r>
          </w:p>
        </w:tc>
        <w:tc>
          <w:tcPr>
            <w:tcW w:w="1621" w:type="dxa"/>
          </w:tcPr>
          <w:p>
            <w:pPr>
              <w:pStyle w:val="TableParagraph"/>
              <w:spacing w:line="196" w:lineRule="exact" w:before="82"/>
              <w:ind w:left="368"/>
              <w:rPr>
                <w:sz w:val="18"/>
              </w:rPr>
            </w:pPr>
            <w:r>
              <w:rPr>
                <w:sz w:val="18"/>
              </w:rPr>
              <w:t>.22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(.06,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.82)</w:t>
            </w:r>
          </w:p>
        </w:tc>
        <w:tc>
          <w:tcPr>
            <w:tcW w:w="1596" w:type="dxa"/>
          </w:tcPr>
          <w:p>
            <w:pPr>
              <w:pStyle w:val="TableParagraph"/>
              <w:spacing w:line="196" w:lineRule="exact" w:before="82"/>
              <w:ind w:left="321"/>
              <w:rPr>
                <w:sz w:val="18"/>
              </w:rPr>
            </w:pPr>
            <w:r>
              <w:rPr>
                <w:sz w:val="18"/>
              </w:rPr>
              <w:t>.11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(.02,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.50)</w:t>
            </w:r>
          </w:p>
        </w:tc>
        <w:tc>
          <w:tcPr>
            <w:tcW w:w="1510" w:type="dxa"/>
          </w:tcPr>
          <w:p>
            <w:pPr>
              <w:pStyle w:val="TableParagraph"/>
              <w:spacing w:line="196" w:lineRule="exact" w:before="82"/>
              <w:ind w:left="254"/>
              <w:rPr>
                <w:sz w:val="18"/>
              </w:rPr>
            </w:pPr>
            <w:r>
              <w:rPr>
                <w:sz w:val="18"/>
              </w:rPr>
              <w:t>.09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(.02,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.40)</w:t>
            </w:r>
          </w:p>
        </w:tc>
        <w:tc>
          <w:tcPr>
            <w:tcW w:w="1416" w:type="dxa"/>
          </w:tcPr>
          <w:p>
            <w:pPr>
              <w:pStyle w:val="TableParagraph"/>
              <w:spacing w:line="196" w:lineRule="exact" w:before="82"/>
              <w:ind w:left="134"/>
              <w:rPr>
                <w:sz w:val="18"/>
              </w:rPr>
            </w:pPr>
            <w:r>
              <w:rPr>
                <w:sz w:val="18"/>
              </w:rPr>
              <w:t>.73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(.31,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1.69)</w:t>
            </w:r>
          </w:p>
        </w:tc>
      </w:tr>
    </w:tbl>
    <w:p>
      <w:pPr>
        <w:pStyle w:val="BodyText"/>
        <w:spacing w:before="9"/>
        <w:rPr>
          <w:rFonts w:ascii="Arial"/>
          <w:b/>
          <w:sz w:val="27"/>
        </w:rPr>
      </w:pPr>
      <w:r>
        <w:rPr/>
        <w:pict>
          <v:rect style="position:absolute;margin-left:70.344002pt;margin-top:17.180979pt;width:478.396023pt;height:.479pt;mso-position-horizontal-relative:page;mso-position-vertical-relative:paragraph;z-index:-15725568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spacing w:before="0"/>
        <w:ind w:left="1433" w:right="960" w:firstLine="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ACEs,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age,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sexual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minority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identity,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gender</w:t>
      </w:r>
      <w:r>
        <w:rPr>
          <w:rFonts w:ascii="Arial" w:hAnsi="Arial"/>
          <w:spacing w:val="-4"/>
          <w:sz w:val="18"/>
        </w:rPr>
        <w:t> </w:t>
      </w:r>
      <w:r>
        <w:rPr>
          <w:rFonts w:ascii="Arial" w:hAnsi="Arial"/>
          <w:sz w:val="18"/>
        </w:rPr>
        <w:t>identity,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z w:val="18"/>
        </w:rPr>
        <w:t>race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z w:val="18"/>
        </w:rPr>
        <w:t>and</w:t>
      </w:r>
      <w:r>
        <w:rPr>
          <w:rFonts w:ascii="Arial" w:hAnsi="Arial"/>
          <w:spacing w:val="-4"/>
          <w:sz w:val="18"/>
        </w:rPr>
        <w:t> </w:t>
      </w:r>
      <w:r>
        <w:rPr>
          <w:rFonts w:ascii="Arial" w:hAnsi="Arial"/>
          <w:sz w:val="18"/>
        </w:rPr>
        <w:t>educational</w:t>
      </w:r>
      <w:r>
        <w:rPr>
          <w:rFonts w:ascii="Arial" w:hAnsi="Arial"/>
          <w:spacing w:val="-4"/>
          <w:sz w:val="18"/>
        </w:rPr>
        <w:t> </w:t>
      </w:r>
      <w:r>
        <w:rPr>
          <w:rFonts w:ascii="Arial" w:hAnsi="Arial"/>
          <w:sz w:val="18"/>
        </w:rPr>
        <w:t>attainment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sz w:val="18"/>
        </w:rPr>
        <w:t>were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included</w:t>
      </w:r>
      <w:r>
        <w:rPr>
          <w:rFonts w:ascii="Arial" w:hAnsi="Arial"/>
          <w:spacing w:val="-4"/>
          <w:sz w:val="18"/>
        </w:rPr>
        <w:t> </w:t>
      </w:r>
      <w:r>
        <w:rPr>
          <w:rFonts w:ascii="Arial" w:hAnsi="Arial"/>
          <w:sz w:val="18"/>
        </w:rPr>
        <w:t>in</w:t>
      </w:r>
      <w:r>
        <w:rPr>
          <w:rFonts w:ascii="Arial" w:hAnsi="Arial"/>
          <w:spacing w:val="-1"/>
          <w:sz w:val="18"/>
        </w:rPr>
        <w:t> </w:t>
      </w:r>
      <w:r>
        <w:rPr>
          <w:rFonts w:ascii="Arial" w:hAnsi="Arial"/>
          <w:sz w:val="18"/>
        </w:rPr>
        <w:t>the</w:t>
      </w:r>
      <w:r>
        <w:rPr>
          <w:rFonts w:ascii="Arial" w:hAnsi="Arial"/>
          <w:spacing w:val="-4"/>
          <w:sz w:val="18"/>
        </w:rPr>
        <w:t> </w:t>
      </w:r>
      <w:r>
        <w:rPr>
          <w:rFonts w:ascii="Arial" w:hAnsi="Arial"/>
          <w:sz w:val="18"/>
        </w:rPr>
        <w:t>models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sz w:val="18"/>
        </w:rPr>
        <w:t>but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sz w:val="18"/>
        </w:rPr>
        <w:t>are</w:t>
      </w:r>
      <w:r>
        <w:rPr>
          <w:rFonts w:ascii="Arial" w:hAnsi="Arial"/>
          <w:spacing w:val="-47"/>
          <w:sz w:val="18"/>
        </w:rPr>
        <w:t> </w:t>
      </w:r>
      <w:r>
        <w:rPr>
          <w:rFonts w:ascii="Arial" w:hAnsi="Arial"/>
          <w:sz w:val="18"/>
        </w:rPr>
        <w:t>suppressed in the table.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z w:val="18"/>
        </w:rPr>
        <w:t>Suicide attempts following Suicide Attempt reports the percentage of at least one subsequent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z w:val="18"/>
        </w:rPr>
        <w:t>suicide attempt.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z w:val="18"/>
        </w:rPr>
        <w:t>“Per Blosnich et al.” includes suicidal behavior that preceded SOCE.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z w:val="18"/>
        </w:rPr>
        <w:t>“Corrected” excludes suicidal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z w:val="18"/>
        </w:rPr>
        <w:t>behavior</w:t>
      </w:r>
      <w:r>
        <w:rPr>
          <w:rFonts w:ascii="Arial" w:hAnsi="Arial"/>
          <w:spacing w:val="-3"/>
          <w:sz w:val="18"/>
        </w:rPr>
        <w:t> </w:t>
      </w:r>
      <w:r>
        <w:rPr>
          <w:rFonts w:ascii="Arial" w:hAnsi="Arial"/>
          <w:sz w:val="18"/>
        </w:rPr>
        <w:t>that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predated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sz w:val="18"/>
        </w:rPr>
        <w:t>experiencing SOCE.</w:t>
      </w:r>
    </w:p>
    <w:p>
      <w:pPr>
        <w:pStyle w:val="BodyText"/>
        <w:spacing w:line="480" w:lineRule="auto" w:before="165"/>
        <w:ind w:left="1440" w:right="1408" w:firstLine="719"/>
      </w:pPr>
      <w:r>
        <w:rPr/>
        <w:t>Three additional analyses confirm and contextualize these findings.</w:t>
      </w:r>
      <w:r>
        <w:rPr>
          <w:spacing w:val="1"/>
        </w:rPr>
        <w:t> </w:t>
      </w:r>
      <w:r>
        <w:rPr/>
        <w:t>Table 1 reports the</w:t>
      </w:r>
      <w:r>
        <w:rPr>
          <w:spacing w:val="1"/>
        </w:rPr>
        <w:t> </w:t>
      </w:r>
      <w:r>
        <w:rPr/>
        <w:t>number and percent of repeated instances among the suicidal behavior reported before, during</w:t>
      </w:r>
      <w:r>
        <w:rPr>
          <w:spacing w:val="1"/>
        </w:rPr>
        <w:t> </w:t>
      </w:r>
      <w:r>
        <w:rPr/>
        <w:t>and after, or in the absence of SOCE treatment.</w:t>
      </w:r>
      <w:r>
        <w:rPr>
          <w:spacing w:val="1"/>
        </w:rPr>
        <w:t> </w:t>
      </w:r>
      <w:r>
        <w:rPr/>
        <w:t>The percentages shown are population-weighted</w:t>
      </w:r>
      <w:r>
        <w:rPr>
          <w:spacing w:val="-57"/>
        </w:rPr>
        <w:t> </w:t>
      </w:r>
      <w:r>
        <w:rPr/>
        <w:t>but not adjusted for covariates.</w:t>
      </w:r>
      <w:r>
        <w:rPr>
          <w:spacing w:val="1"/>
        </w:rPr>
        <w:t> </w:t>
      </w:r>
      <w:r>
        <w:rPr/>
        <w:t>“Before intervening SOCE” reports behavior expressed before</w:t>
      </w:r>
      <w:r>
        <w:rPr>
          <w:spacing w:val="1"/>
        </w:rPr>
        <w:t> </w:t>
      </w:r>
      <w:r>
        <w:rPr/>
        <w:t>SOCE that recurred during or after SOCE treatment; “During/after SOCE” reports behavior that</w:t>
      </w:r>
      <w:r>
        <w:rPr>
          <w:spacing w:val="1"/>
        </w:rPr>
        <w:t> </w:t>
      </w:r>
      <w:r>
        <w:rPr/>
        <w:t>began following SOCE.</w:t>
      </w:r>
      <w:r>
        <w:rPr>
          <w:spacing w:val="1"/>
        </w:rPr>
        <w:t> </w:t>
      </w:r>
      <w:r>
        <w:rPr/>
        <w:t>Together these offer crude measures of the propensity of SOCE</w:t>
      </w:r>
      <w:r>
        <w:rPr>
          <w:spacing w:val="1"/>
        </w:rPr>
        <w:t> </w:t>
      </w:r>
      <w:r>
        <w:rPr/>
        <w:t>treatment to curb or instigate suicidal behavior.</w:t>
      </w:r>
      <w:r>
        <w:rPr>
          <w:spacing w:val="1"/>
        </w:rPr>
        <w:t> </w:t>
      </w:r>
      <w:r>
        <w:rPr/>
        <w:t>With the exception of suicide ideation expressed</w:t>
      </w:r>
      <w:r>
        <w:rPr>
          <w:spacing w:val="-58"/>
        </w:rPr>
        <w:t> </w:t>
      </w:r>
      <w:r>
        <w:rPr/>
        <w:t>before SOCE, by these measures SOCE treatment is more effective than its absence both in</w:t>
      </w:r>
      <w:r>
        <w:rPr>
          <w:spacing w:val="1"/>
        </w:rPr>
        <w:t> </w:t>
      </w:r>
      <w:r>
        <w:rPr/>
        <w:t>ameliorating prior and reducing subsequent suicidal behavior.</w:t>
      </w:r>
      <w:r>
        <w:rPr>
          <w:spacing w:val="1"/>
        </w:rPr>
        <w:t> </w:t>
      </w:r>
      <w:r>
        <w:rPr/>
        <w:t>Both effects are strongest for the</w:t>
      </w:r>
      <w:r>
        <w:rPr>
          <w:spacing w:val="1"/>
        </w:rPr>
        <w:t> </w:t>
      </w:r>
      <w:r>
        <w:rPr/>
        <w:t>most serious suicidal behavior: suicide attempts.</w:t>
      </w:r>
      <w:r>
        <w:rPr>
          <w:spacing w:val="1"/>
        </w:rPr>
        <w:t> </w:t>
      </w:r>
      <w:r>
        <w:rPr/>
        <w:t>The prevalence of repeated suicide attempts</w:t>
      </w:r>
      <w:r>
        <w:rPr>
          <w:spacing w:val="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SOCE is less than one-third the</w:t>
      </w:r>
      <w:r>
        <w:rPr>
          <w:spacing w:val="-2"/>
        </w:rPr>
        <w:t> </w:t>
      </w:r>
      <w:r>
        <w:rPr/>
        <w:t>prevalence</w:t>
      </w:r>
      <w:r>
        <w:rPr>
          <w:spacing w:val="-1"/>
        </w:rPr>
        <w:t> </w:t>
      </w:r>
      <w:r>
        <w:rPr/>
        <w:t>with no SOCE.</w:t>
      </w:r>
    </w:p>
    <w:p>
      <w:pPr>
        <w:spacing w:after="0" w:line="480" w:lineRule="auto"/>
        <w:sectPr>
          <w:pgSz w:w="12240" w:h="15840"/>
          <w:pgMar w:header="722" w:footer="0" w:top="980" w:bottom="280" w:left="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440" w:right="1452" w:firstLine="719"/>
      </w:pPr>
      <w:r>
        <w:rPr/>
        <w:t>Table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compares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proportion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suicidal</w:t>
      </w:r>
      <w:r>
        <w:rPr>
          <w:spacing w:val="-1"/>
        </w:rPr>
        <w:t> </w:t>
      </w:r>
      <w:r>
        <w:rPr/>
        <w:t>behavior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results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suicide</w:t>
      </w:r>
      <w:r>
        <w:rPr>
          <w:spacing w:val="-1"/>
        </w:rPr>
        <w:t> </w:t>
      </w:r>
      <w:r>
        <w:rPr/>
        <w:t>attempts</w:t>
      </w:r>
      <w:r>
        <w:rPr>
          <w:spacing w:val="-57"/>
        </w:rPr>
        <w:t> </w:t>
      </w:r>
      <w:r>
        <w:rPr/>
        <w:t>when followed or not followed by SOCE treatment.</w:t>
      </w:r>
      <w:r>
        <w:rPr>
          <w:spacing w:val="1"/>
        </w:rPr>
        <w:t> </w:t>
      </w:r>
      <w:r>
        <w:rPr/>
        <w:t>These percentages report marginal effects</w:t>
      </w:r>
      <w:r>
        <w:rPr>
          <w:spacing w:val="1"/>
        </w:rPr>
        <w:t> </w:t>
      </w:r>
      <w:r>
        <w:rPr/>
        <w:t>from adjusted logistic regression models.</w:t>
      </w:r>
      <w:r>
        <w:rPr>
          <w:spacing w:val="1"/>
        </w:rPr>
        <w:t> </w:t>
      </w:r>
      <w:r>
        <w:rPr/>
        <w:t>For suicide ideation, planning and intention,</w:t>
      </w:r>
      <w:r>
        <w:rPr>
          <w:spacing w:val="1"/>
        </w:rPr>
        <w:t> </w:t>
      </w:r>
      <w:r>
        <w:rPr/>
        <w:t>intervening</w:t>
      </w:r>
      <w:r>
        <w:rPr>
          <w:spacing w:val="-3"/>
        </w:rPr>
        <w:t> </w:t>
      </w:r>
      <w:r>
        <w:rPr/>
        <w:t>SOCE dramatically</w:t>
      </w:r>
      <w:r>
        <w:rPr>
          <w:spacing w:val="-6"/>
        </w:rPr>
        <w:t> </w:t>
      </w:r>
      <w:r>
        <w:rPr/>
        <w:t>reduces the</w:t>
      </w:r>
      <w:r>
        <w:rPr>
          <w:spacing w:val="1"/>
        </w:rPr>
        <w:t> </w:t>
      </w:r>
      <w:r>
        <w:rPr/>
        <w:t>risk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suicide attempt, with</w:t>
      </w:r>
      <w:r>
        <w:rPr>
          <w:spacing w:val="-1"/>
        </w:rPr>
        <w:t> </w:t>
      </w:r>
      <w:r>
        <w:rPr/>
        <w:t>AORs of .09</w:t>
      </w:r>
      <w:r>
        <w:rPr>
          <w:spacing w:val="-1"/>
        </w:rPr>
        <w:t> </w:t>
      </w:r>
      <w:r>
        <w:rPr/>
        <w:t>to .22.</w:t>
      </w:r>
    </w:p>
    <w:p>
      <w:pPr>
        <w:pStyle w:val="BodyText"/>
        <w:spacing w:line="480" w:lineRule="auto"/>
        <w:ind w:left="1440" w:right="2015"/>
      </w:pPr>
      <w:r>
        <w:rPr/>
        <w:t>The best estimate for the repeat of an initial suicide attempt is also lower following SOCE,</w:t>
      </w:r>
      <w:r>
        <w:rPr>
          <w:spacing w:val="-57"/>
        </w:rPr>
        <w:t> </w:t>
      </w:r>
      <w:r>
        <w:rPr/>
        <w:t>compared</w:t>
      </w:r>
      <w:r>
        <w:rPr>
          <w:spacing w:val="-1"/>
        </w:rPr>
        <w:t> </w:t>
      </w:r>
      <w:r>
        <w:rPr/>
        <w:t>to no SOCE, but is not significant in these</w:t>
      </w:r>
      <w:r>
        <w:rPr>
          <w:spacing w:val="-3"/>
        </w:rPr>
        <w:t> </w:t>
      </w:r>
      <w:r>
        <w:rPr/>
        <w:t>data.</w:t>
      </w:r>
    </w:p>
    <w:p>
      <w:pPr>
        <w:pStyle w:val="BodyText"/>
        <w:spacing w:line="482" w:lineRule="auto"/>
        <w:ind w:left="1440" w:right="1384" w:firstLine="719"/>
        <w:rPr>
          <w:b/>
        </w:rPr>
      </w:pPr>
      <w:r>
        <w:rPr/>
        <w:t>Table 2 also reports that a reduction in suicidality was much more likely for those who</w:t>
      </w:r>
      <w:r>
        <w:rPr>
          <w:spacing w:val="1"/>
        </w:rPr>
        <w:t> </w:t>
      </w:r>
      <w:r>
        <w:rPr/>
        <w:t>underwent SOCE as adults, with AORs of .09 to .21, than as children, with AORs of .19 to 1.36.</w:t>
      </w:r>
      <w:r>
        <w:rPr>
          <w:spacing w:val="1"/>
        </w:rPr>
        <w:t> </w:t>
      </w:r>
      <w:r>
        <w:rPr/>
        <w:t>Half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those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underwent</w:t>
      </w:r>
      <w:r>
        <w:rPr>
          <w:spacing w:val="-1"/>
        </w:rPr>
        <w:t> </w:t>
      </w:r>
      <w:r>
        <w:rPr/>
        <w:t>SOCE</w:t>
      </w:r>
      <w:r>
        <w:rPr>
          <w:spacing w:val="-1"/>
        </w:rPr>
        <w:t> </w:t>
      </w:r>
      <w:r>
        <w:rPr/>
        <w:t>treatment</w:t>
      </w:r>
      <w:r>
        <w:rPr>
          <w:spacing w:val="-1"/>
        </w:rPr>
        <w:t> </w:t>
      </w:r>
      <w:r>
        <w:rPr/>
        <w:t>did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adults;</w:t>
      </w:r>
      <w:r>
        <w:rPr>
          <w:spacing w:val="-1"/>
        </w:rPr>
        <w:t> </w:t>
      </w:r>
      <w:r>
        <w:rPr/>
        <w:t>mean</w:t>
      </w:r>
      <w:r>
        <w:rPr>
          <w:spacing w:val="-1"/>
        </w:rPr>
        <w:t> </w:t>
      </w:r>
      <w:r>
        <w:rPr/>
        <w:t>age was</w:t>
      </w:r>
      <w:r>
        <w:rPr>
          <w:spacing w:val="-1"/>
        </w:rPr>
        <w:t> </w:t>
      </w:r>
      <w:r>
        <w:rPr/>
        <w:t>18.2</w:t>
      </w:r>
      <w:r>
        <w:rPr>
          <w:spacing w:val="-1"/>
        </w:rPr>
        <w:t> </w:t>
      </w:r>
      <w:r>
        <w:rPr/>
        <w:t>(S.E</w:t>
      </w:r>
      <w:r>
        <w:rPr>
          <w:spacing w:val="-2"/>
        </w:rPr>
        <w:t> </w:t>
      </w:r>
      <w:r>
        <w:rPr/>
        <w:t>.6)</w:t>
      </w:r>
      <w:r>
        <w:rPr>
          <w:spacing w:val="3"/>
        </w:rPr>
        <w:t> </w:t>
      </w:r>
      <w:r>
        <w:rPr/>
        <w:t>years.</w:t>
      </w:r>
      <w:r>
        <w:rPr>
          <w:spacing w:val="-57"/>
        </w:rPr>
        <w:t> </w:t>
      </w:r>
      <w:r>
        <w:rPr>
          <w:b/>
        </w:rPr>
        <w:t>CONCLUSION</w:t>
      </w:r>
    </w:p>
    <w:p>
      <w:pPr>
        <w:pStyle w:val="BodyText"/>
        <w:spacing w:line="480" w:lineRule="auto"/>
        <w:ind w:left="1440" w:right="1482" w:firstLine="719"/>
      </w:pPr>
      <w:r>
        <w:rPr/>
        <w:t>Blosnich et al.’s speculation that SOCE treatment has an “insidious association with</w:t>
      </w:r>
      <w:r>
        <w:rPr>
          <w:spacing w:val="1"/>
        </w:rPr>
        <w:t> </w:t>
      </w:r>
      <w:r>
        <w:rPr/>
        <w:t>suicide risk” and that it “may compound or create … suicidal ideation and suicide attempts” are</w:t>
      </w:r>
      <w:r>
        <w:rPr>
          <w:spacing w:val="-57"/>
        </w:rPr>
        <w:t> </w:t>
      </w:r>
      <w:r>
        <w:rPr/>
        <w:t>not only emphatically false but state the case exactly backwards.</w:t>
      </w:r>
      <w:r>
        <w:rPr>
          <w:spacing w:val="1"/>
        </w:rPr>
        <w:t> </w:t>
      </w:r>
      <w:r>
        <w:rPr/>
        <w:t>The association of suicidality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SOCE is due</w:t>
      </w:r>
      <w:r>
        <w:rPr>
          <w:spacing w:val="-1"/>
        </w:rPr>
        <w:t> </w:t>
      </w:r>
      <w:r>
        <w:rPr/>
        <w:t>much more</w:t>
      </w:r>
      <w:r>
        <w:rPr>
          <w:spacing w:val="-1"/>
        </w:rPr>
        <w:t> </w:t>
      </w:r>
      <w:r>
        <w:rPr/>
        <w:t>to persons with suicidal</w:t>
      </w:r>
      <w:r>
        <w:rPr>
          <w:spacing w:val="-1"/>
        </w:rPr>
        <w:t> </w:t>
      </w:r>
      <w:r>
        <w:rPr/>
        <w:t>behavior subsequently</w:t>
      </w:r>
      <w:r>
        <w:rPr>
          <w:spacing w:val="-5"/>
        </w:rPr>
        <w:t> </w:t>
      </w:r>
      <w:r>
        <w:rPr/>
        <w:t>undergoing</w:t>
      </w:r>
      <w:r>
        <w:rPr>
          <w:spacing w:val="-3"/>
        </w:rPr>
        <w:t> </w:t>
      </w:r>
      <w:r>
        <w:rPr/>
        <w:t>SOCE</w:t>
      </w:r>
      <w:r>
        <w:rPr>
          <w:spacing w:val="-57"/>
        </w:rPr>
        <w:t> </w:t>
      </w:r>
      <w:r>
        <w:rPr/>
        <w:t>than to persons who have undergone SOCE seeking suicide.</w:t>
      </w:r>
      <w:r>
        <w:rPr>
          <w:spacing w:val="1"/>
        </w:rPr>
        <w:t> </w:t>
      </w:r>
      <w:r>
        <w:rPr/>
        <w:t>As the regression models above</w:t>
      </w:r>
      <w:r>
        <w:rPr>
          <w:spacing w:val="1"/>
        </w:rPr>
        <w:t> </w:t>
      </w:r>
      <w:r>
        <w:rPr/>
        <w:t>suggest, the effect is much stronger for adults.</w:t>
      </w:r>
      <w:r>
        <w:rPr>
          <w:spacing w:val="1"/>
        </w:rPr>
        <w:t> </w:t>
      </w:r>
      <w:r>
        <w:rPr/>
        <w:t>The proportion (S.E.) of each suicidal behavior</w:t>
      </w:r>
      <w:r>
        <w:rPr>
          <w:spacing w:val="1"/>
        </w:rPr>
        <w:t> </w:t>
      </w:r>
      <w:r>
        <w:rPr/>
        <w:t>among those participating in SOCE as adults that was expressed prior to undergoing SOCE</w:t>
      </w:r>
      <w:r>
        <w:rPr>
          <w:spacing w:val="1"/>
        </w:rPr>
        <w:t> </w:t>
      </w:r>
      <w:r>
        <w:rPr/>
        <w:t>therapy was: ideation, 77% (7.5); planning, 66% (9.5); intention, 73% (10.0); and attempt, 78%</w:t>
      </w:r>
      <w:r>
        <w:rPr>
          <w:spacing w:val="1"/>
        </w:rPr>
        <w:t> </w:t>
      </w:r>
      <w:r>
        <w:rPr/>
        <w:t>(10.0).</w:t>
      </w:r>
      <w:r>
        <w:rPr>
          <w:spacing w:val="1"/>
        </w:rPr>
        <w:t> </w:t>
      </w:r>
      <w:r>
        <w:rPr/>
        <w:t>This indicates that these adults disproportionately selected into SOCE treatment</w:t>
      </w:r>
      <w:r>
        <w:rPr>
          <w:spacing w:val="1"/>
        </w:rPr>
        <w:t> </w:t>
      </w:r>
      <w:r>
        <w:rPr/>
        <w:t>following suicidal behavior.</w:t>
      </w:r>
      <w:r>
        <w:rPr>
          <w:spacing w:val="1"/>
        </w:rPr>
        <w:t> </w:t>
      </w:r>
      <w:r>
        <w:rPr/>
        <w:t>Blosnich et al. thus correctly observed a strong association of</w:t>
      </w:r>
      <w:r>
        <w:rPr>
          <w:spacing w:val="1"/>
        </w:rPr>
        <w:t> </w:t>
      </w:r>
      <w:r>
        <w:rPr/>
        <w:t>SOCE with suicidality but mistakenly reversed the direction of causation.</w:t>
      </w:r>
      <w:r>
        <w:rPr>
          <w:spacing w:val="1"/>
        </w:rPr>
        <w:t> </w:t>
      </w:r>
      <w:r>
        <w:rPr/>
        <w:t>For sexual minority</w:t>
      </w:r>
      <w:r>
        <w:rPr>
          <w:spacing w:val="1"/>
        </w:rPr>
        <w:t> </w:t>
      </w:r>
      <w:r>
        <w:rPr/>
        <w:t>adults, experiencing SOCE did not lead to higher suicidality; rather, experiencing suicidality led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higher SOCE participation.</w:t>
      </w:r>
    </w:p>
    <w:p>
      <w:pPr>
        <w:spacing w:after="0" w:line="480" w:lineRule="auto"/>
        <w:sectPr>
          <w:pgSz w:w="12240" w:h="15840"/>
          <w:pgMar w:header="722" w:footer="0" w:top="980" w:bottom="280" w:left="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440" w:right="1413" w:firstLine="719"/>
      </w:pPr>
      <w:r>
        <w:rPr/>
        <w:t>The</w:t>
      </w:r>
      <w:r>
        <w:rPr>
          <w:spacing w:val="-1"/>
        </w:rPr>
        <w:t> </w:t>
      </w:r>
      <w:r>
        <w:rPr/>
        <w:t>fact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most</w:t>
      </w:r>
      <w:r>
        <w:rPr>
          <w:spacing w:val="1"/>
        </w:rPr>
        <w:t> </w:t>
      </w:r>
      <w:r>
        <w:rPr/>
        <w:t>suicidality</w:t>
      </w:r>
      <w:r>
        <w:rPr>
          <w:spacing w:val="-3"/>
        </w:rPr>
        <w:t> </w:t>
      </w:r>
      <w:r>
        <w:rPr/>
        <w:t>alleged</w:t>
      </w:r>
      <w:r>
        <w:rPr>
          <w:spacing w:val="2"/>
        </w:rPr>
        <w:t> </w:t>
      </w:r>
      <w:r>
        <w:rPr/>
        <w:t>to</w:t>
      </w:r>
      <w:r>
        <w:rPr>
          <w:spacing w:val="4"/>
        </w:rPr>
        <w:t> </w:t>
      </w:r>
      <w:r>
        <w:rPr/>
        <w:t>result</w:t>
      </w:r>
      <w:r>
        <w:rPr>
          <w:spacing w:val="1"/>
        </w:rPr>
        <w:t> </w:t>
      </w:r>
      <w:r>
        <w:rPr/>
        <w:t>from</w:t>
      </w:r>
      <w:r>
        <w:rPr>
          <w:spacing w:val="2"/>
        </w:rPr>
        <w:t> </w:t>
      </w:r>
      <w:r>
        <w:rPr/>
        <w:t>SOCE</w:t>
      </w:r>
      <w:r>
        <w:rPr>
          <w:spacing w:val="2"/>
        </w:rPr>
        <w:t> </w:t>
      </w:r>
      <w:r>
        <w:rPr/>
        <w:t>treatment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fact</w:t>
      </w:r>
      <w:r>
        <w:rPr>
          <w:spacing w:val="2"/>
        </w:rPr>
        <w:t> </w:t>
      </w:r>
      <w:r>
        <w:rPr/>
        <w:t>preceded</w:t>
      </w:r>
      <w:r>
        <w:rPr>
          <w:spacing w:val="1"/>
        </w:rPr>
        <w:t> </w:t>
      </w:r>
      <w:r>
        <w:rPr/>
        <w:t>such treatment is sufficient to rebut the false claim that SOCE treatment instigated suicidality.</w:t>
      </w:r>
      <w:r>
        <w:rPr>
          <w:spacing w:val="1"/>
        </w:rPr>
        <w:t> </w:t>
      </w:r>
      <w:r>
        <w:rPr/>
        <w:t>It</w:t>
      </w:r>
      <w:r>
        <w:rPr>
          <w:spacing w:val="-57"/>
        </w:rPr>
        <w:t> </w:t>
      </w:r>
      <w:r>
        <w:rPr/>
        <w:t>is not necessary also to show that SOCE relieved pre-existing suicidality better than no SOCE;</w:t>
      </w:r>
      <w:r>
        <w:rPr>
          <w:spacing w:val="1"/>
        </w:rPr>
        <w:t> </w:t>
      </w:r>
      <w:r>
        <w:rPr/>
        <w:t>persons selecting into SOCE treatment, for example, may have more intractable forms of</w:t>
      </w:r>
      <w:r>
        <w:rPr>
          <w:spacing w:val="1"/>
        </w:rPr>
        <w:t> </w:t>
      </w:r>
      <w:r>
        <w:rPr/>
        <w:t>suicidality.</w:t>
      </w:r>
      <w:r>
        <w:rPr>
          <w:spacing w:val="1"/>
        </w:rPr>
        <w:t> </w:t>
      </w:r>
      <w:r>
        <w:rPr/>
        <w:t>As the evidence above shows, however, SOCE participation strongly reduced almost</w:t>
      </w:r>
      <w:r>
        <w:rPr>
          <w:spacing w:val="-58"/>
        </w:rPr>
        <w:t> </w:t>
      </w:r>
      <w:r>
        <w:rPr/>
        <w:t>all forms of pre-existing suicidality.</w:t>
      </w:r>
      <w:r>
        <w:rPr>
          <w:spacing w:val="1"/>
        </w:rPr>
        <w:t> </w:t>
      </w:r>
      <w:r>
        <w:rPr/>
        <w:t>Following SOCE, the odds of suicide ideation was reduced</w:t>
      </w:r>
      <w:r>
        <w:rPr>
          <w:spacing w:val="1"/>
        </w:rPr>
        <w:t> </w:t>
      </w:r>
      <w:r>
        <w:rPr/>
        <w:t>by almost 90% (AOR .11), of suicide planning by two-thirds (AOR .34), and of suicide intention</w:t>
      </w:r>
      <w:r>
        <w:rPr>
          <w:spacing w:val="-57"/>
        </w:rPr>
        <w:t> </w:t>
      </w:r>
      <w:r>
        <w:rPr/>
        <w:t>almost by half (AOR .55).</w:t>
      </w:r>
      <w:r>
        <w:rPr>
          <w:spacing w:val="1"/>
        </w:rPr>
        <w:t> </w:t>
      </w:r>
      <w:r>
        <w:rPr/>
        <w:t>Only suicide attempt risk was not significantly reduced overall and</w:t>
      </w:r>
      <w:r>
        <w:rPr>
          <w:spacing w:val="1"/>
        </w:rPr>
        <w:t> </w:t>
      </w:r>
      <w:r>
        <w:rPr/>
        <w:t>may be higher for children, but for adults suicide attempt risk following SOCE was strongly</w:t>
      </w:r>
      <w:r>
        <w:rPr>
          <w:spacing w:val="1"/>
        </w:rPr>
        <w:t> </w:t>
      </w:r>
      <w:r>
        <w:rPr/>
        <w:t>reduced, by 86% (AOR .14).</w:t>
      </w:r>
      <w:r>
        <w:rPr>
          <w:spacing w:val="1"/>
        </w:rPr>
        <w:t> </w:t>
      </w:r>
      <w:r>
        <w:rPr/>
        <w:t>For both adults and children, progression to attempted suicide was</w:t>
      </w:r>
      <w:r>
        <w:rPr>
          <w:spacing w:val="1"/>
        </w:rPr>
        <w:t> </w:t>
      </w:r>
      <w:r>
        <w:rPr/>
        <w:t>dramatically reduced by SOCE.</w:t>
      </w:r>
      <w:r>
        <w:rPr>
          <w:spacing w:val="1"/>
        </w:rPr>
        <w:t> </w:t>
      </w:r>
      <w:r>
        <w:rPr/>
        <w:t>When followed by SOCE treatment, suicide ideation was only a</w:t>
      </w:r>
      <w:r>
        <w:rPr>
          <w:spacing w:val="-57"/>
        </w:rPr>
        <w:t> </w:t>
      </w:r>
      <w:r>
        <w:rPr/>
        <w:t>fifth as likely to lead to a suicide attempt; suicide planning and intention a tenth as likely; and an</w:t>
      </w:r>
      <w:r>
        <w:rPr>
          <w:spacing w:val="-57"/>
        </w:rPr>
        <w:t> </w:t>
      </w:r>
      <w:r>
        <w:rPr/>
        <w:t>initial</w:t>
      </w:r>
      <w:r>
        <w:rPr>
          <w:spacing w:val="-1"/>
        </w:rPr>
        <w:t> </w:t>
      </w:r>
      <w:r>
        <w:rPr/>
        <w:t>suicide attempt was a</w:t>
      </w:r>
      <w:r>
        <w:rPr>
          <w:spacing w:val="-2"/>
        </w:rPr>
        <w:t> </w:t>
      </w:r>
      <w:r>
        <w:rPr/>
        <w:t>third less</w:t>
      </w:r>
      <w:r>
        <w:rPr>
          <w:spacing w:val="2"/>
        </w:rPr>
        <w:t> </w:t>
      </w:r>
      <w:r>
        <w:rPr/>
        <w:t>likely</w:t>
      </w:r>
      <w:r>
        <w:rPr>
          <w:spacing w:val="-5"/>
        </w:rPr>
        <w:t> </w:t>
      </w:r>
      <w:r>
        <w:rPr/>
        <w:t>to lead</w:t>
      </w:r>
      <w:r>
        <w:rPr>
          <w:spacing w:val="-1"/>
        </w:rPr>
        <w:t> </w:t>
      </w:r>
      <w:r>
        <w:rPr/>
        <w:t>to second attempt.</w:t>
      </w:r>
    </w:p>
    <w:p>
      <w:pPr>
        <w:pStyle w:val="BodyText"/>
        <w:spacing w:line="480" w:lineRule="auto" w:before="2"/>
        <w:ind w:left="1440" w:right="1447" w:firstLine="719"/>
      </w:pPr>
      <w:r>
        <w:rPr/>
        <w:t>It is possible, moreover, that these findings understate the beneficial effect of SOCE</w:t>
      </w:r>
      <w:r>
        <w:rPr>
          <w:spacing w:val="1"/>
        </w:rPr>
        <w:t> </w:t>
      </w:r>
      <w:r>
        <w:rPr/>
        <w:t>treatment on suicidality and affect, since those who may have attained the goal of SOCE—to</w:t>
      </w:r>
      <w:r>
        <w:rPr>
          <w:spacing w:val="1"/>
        </w:rPr>
        <w:t> </w:t>
      </w:r>
      <w:r>
        <w:rPr/>
        <w:t>adopt heterosexual identity, orientation or sexual function—were systematically screened from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survey</w:t>
      </w:r>
      <w:r>
        <w:rPr>
          <w:spacing w:val="-5"/>
        </w:rPr>
        <w:t> </w:t>
      </w:r>
      <w:r>
        <w:rPr/>
        <w:t>sample, which</w:t>
      </w:r>
      <w:r>
        <w:rPr>
          <w:spacing w:val="1"/>
        </w:rPr>
        <w:t> </w:t>
      </w:r>
      <w:r>
        <w:rPr/>
        <w:t>only</w:t>
      </w:r>
      <w:r>
        <w:rPr>
          <w:spacing w:val="-5"/>
        </w:rPr>
        <w:t> </w:t>
      </w:r>
      <w:r>
        <w:rPr/>
        <w:t>included those currently</w:t>
      </w:r>
      <w:r>
        <w:rPr>
          <w:spacing w:val="-5"/>
        </w:rPr>
        <w:t> </w:t>
      </w:r>
      <w:r>
        <w:rPr/>
        <w:t>identifying</w:t>
      </w:r>
      <w:r>
        <w:rPr>
          <w:spacing w:val="-3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sexual minority.</w:t>
      </w:r>
      <w:r>
        <w:rPr>
          <w:spacing w:val="59"/>
        </w:rPr>
        <w:t> </w:t>
      </w:r>
      <w:r>
        <w:rPr/>
        <w:t>Further</w:t>
      </w:r>
      <w:r>
        <w:rPr>
          <w:spacing w:val="-57"/>
        </w:rPr>
        <w:t> </w:t>
      </w:r>
      <w:r>
        <w:rPr/>
        <w:t>research that includes persons for whom SOCE may have been successful would add greatly to</w:t>
      </w:r>
      <w:r>
        <w:rPr>
          <w:spacing w:val="1"/>
        </w:rPr>
        <w:t> </w:t>
      </w:r>
      <w:r>
        <w:rPr/>
        <w:t>our</w:t>
      </w:r>
      <w:r>
        <w:rPr>
          <w:spacing w:val="-1"/>
        </w:rPr>
        <w:t> </w:t>
      </w:r>
      <w:r>
        <w:rPr/>
        <w:t>understanding</w:t>
      </w:r>
      <w:r>
        <w:rPr>
          <w:spacing w:val="-3"/>
        </w:rPr>
        <w:t> </w:t>
      </w:r>
      <w:r>
        <w:rPr/>
        <w:t>of the full effects of this</w:t>
      </w:r>
      <w:r>
        <w:rPr>
          <w:spacing w:val="-1"/>
        </w:rPr>
        <w:t> </w:t>
      </w:r>
      <w:r>
        <w:rPr/>
        <w:t>form of therapy.</w:t>
      </w:r>
    </w:p>
    <w:p>
      <w:pPr>
        <w:pStyle w:val="BodyText"/>
        <w:spacing w:line="480" w:lineRule="auto" w:before="1"/>
        <w:ind w:left="1440" w:right="1482" w:firstLine="719"/>
      </w:pPr>
      <w:r>
        <w:rPr/>
        <w:t>Objections to SOCE on the ground that sexual minority status is immutable are not</w:t>
      </w:r>
      <w:r>
        <w:rPr>
          <w:spacing w:val="1"/>
        </w:rPr>
        <w:t> </w:t>
      </w:r>
      <w:r>
        <w:rPr/>
        <w:t>tenable.</w:t>
      </w:r>
      <w:r>
        <w:rPr>
          <w:spacing w:val="1"/>
        </w:rPr>
        <w:t> </w:t>
      </w:r>
      <w:r>
        <w:rPr/>
        <w:t>Although controversial, the ability of persons to transition sexual orientation identities</w:t>
      </w:r>
      <w:r>
        <w:rPr>
          <w:spacing w:val="1"/>
        </w:rPr>
        <w:t> </w:t>
      </w:r>
      <w:r>
        <w:rPr/>
        <w:t>is well documented (Diamond 2016; Diamond and Rosky 2016; Williams and Woning 2018).</w:t>
      </w:r>
      <w:r>
        <w:rPr>
          <w:spacing w:val="1"/>
        </w:rPr>
        <w:t> </w:t>
      </w:r>
      <w:r>
        <w:rPr/>
        <w:t>Both</w:t>
      </w:r>
      <w:r>
        <w:rPr>
          <w:spacing w:val="1"/>
        </w:rPr>
        <w:t> </w:t>
      </w:r>
      <w:r>
        <w:rPr/>
        <w:t>genomic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twin</w:t>
      </w:r>
      <w:r>
        <w:rPr>
          <w:spacing w:val="-1"/>
        </w:rPr>
        <w:t> </w:t>
      </w:r>
      <w:r>
        <w:rPr/>
        <w:t>studies</w:t>
      </w:r>
      <w:r>
        <w:rPr>
          <w:spacing w:val="1"/>
        </w:rPr>
        <w:t> </w:t>
      </w:r>
      <w:r>
        <w:rPr/>
        <w:t>have</w:t>
      </w:r>
      <w:r>
        <w:rPr>
          <w:spacing w:val="-2"/>
        </w:rPr>
        <w:t> </w:t>
      </w:r>
      <w:r>
        <w:rPr/>
        <w:t>converged</w:t>
      </w:r>
      <w:r>
        <w:rPr>
          <w:spacing w:val="-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finding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minority</w:t>
      </w:r>
      <w:r>
        <w:rPr>
          <w:spacing w:val="-4"/>
        </w:rPr>
        <w:t> </w:t>
      </w:r>
      <w:r>
        <w:rPr/>
        <w:t>sexual</w:t>
      </w:r>
      <w:r>
        <w:rPr>
          <w:spacing w:val="-1"/>
        </w:rPr>
        <w:t> </w:t>
      </w:r>
      <w:r>
        <w:rPr/>
        <w:t>orientation is</w:t>
      </w:r>
    </w:p>
    <w:p>
      <w:pPr>
        <w:spacing w:after="0" w:line="480" w:lineRule="auto"/>
        <w:sectPr>
          <w:pgSz w:w="12240" w:h="15840"/>
          <w:pgMar w:header="722" w:footer="0" w:top="980" w:bottom="280" w:left="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1440" w:right="1437"/>
      </w:pPr>
      <w:r>
        <w:rPr/>
        <w:t>about twice as responsive to environment as it is to genetic influence, which is not determinative</w:t>
      </w:r>
      <w:r>
        <w:rPr>
          <w:spacing w:val="-57"/>
        </w:rPr>
        <w:t> </w:t>
      </w:r>
      <w:r>
        <w:rPr/>
        <w:t>but diffuse and polygenetic (Ganna et al. 2019; Polderman et al. 2015).</w:t>
      </w:r>
      <w:r>
        <w:rPr>
          <w:spacing w:val="1"/>
        </w:rPr>
        <w:t> </w:t>
      </w:r>
      <w:r>
        <w:rPr/>
        <w:t>Bailey and colleagues,</w:t>
      </w:r>
      <w:r>
        <w:rPr>
          <w:spacing w:val="1"/>
        </w:rPr>
        <w:t> </w:t>
      </w:r>
      <w:r>
        <w:rPr/>
        <w:t>writing for the American Psychological Association, doubt that therapy can change internal</w:t>
      </w:r>
      <w:r>
        <w:rPr>
          <w:spacing w:val="1"/>
        </w:rPr>
        <w:t> </w:t>
      </w:r>
      <w:r>
        <w:rPr/>
        <w:t>sexual attraction but assert that “[i]t is, of course, possible to change one’s public sexual-</w:t>
      </w:r>
      <w:r>
        <w:rPr>
          <w:spacing w:val="1"/>
        </w:rPr>
        <w:t> </w:t>
      </w:r>
      <w:r>
        <w:rPr/>
        <w:t>orientation identity, and … whether one will or will not engage in same-sex or opposite-sex</w:t>
      </w:r>
      <w:r>
        <w:rPr>
          <w:spacing w:val="1"/>
        </w:rPr>
        <w:t> </w:t>
      </w:r>
      <w:r>
        <w:rPr/>
        <w:t>sexual behavior … . These sorts of choices likely explain claims by ex-gays and ex-lesbians that</w:t>
      </w:r>
      <w:r>
        <w:rPr>
          <w:spacing w:val="-57"/>
        </w:rPr>
        <w:t> </w:t>
      </w:r>
      <w:r>
        <w:rPr/>
        <w:t>they are no longer leading a “homosexual lifestyle” (Bailey et al. 2016, 86).</w:t>
      </w:r>
      <w:r>
        <w:rPr>
          <w:spacing w:val="1"/>
        </w:rPr>
        <w:t> </w:t>
      </w:r>
      <w:r>
        <w:rPr/>
        <w:t>Similar choices are</w:t>
      </w:r>
      <w:r>
        <w:rPr>
          <w:spacing w:val="1"/>
        </w:rPr>
        <w:t> </w:t>
      </w:r>
      <w:r>
        <w:rPr/>
        <w:t>also made by transgender men and women who choose to transition from their birth gender</w:t>
      </w:r>
      <w:r>
        <w:rPr>
          <w:spacing w:val="1"/>
        </w:rPr>
        <w:t> </w:t>
      </w:r>
      <w:r>
        <w:rPr/>
        <w:t>identity despite its biological immutability.</w:t>
      </w:r>
      <w:r>
        <w:rPr>
          <w:spacing w:val="1"/>
        </w:rPr>
        <w:t> </w:t>
      </w:r>
      <w:r>
        <w:rPr/>
        <w:t>The right of all adults to pursue therapy that affirms</w:t>
      </w:r>
      <w:r>
        <w:rPr>
          <w:spacing w:val="-57"/>
        </w:rPr>
        <w:t> </w:t>
      </w:r>
      <w:r>
        <w:rPr/>
        <w:t>their</w:t>
      </w:r>
      <w:r>
        <w:rPr>
          <w:spacing w:val="-2"/>
        </w:rPr>
        <w:t> </w:t>
      </w:r>
      <w:r>
        <w:rPr/>
        <w:t>persons, sexuality,</w:t>
      </w:r>
      <w:r>
        <w:rPr>
          <w:spacing w:val="-1"/>
        </w:rPr>
        <w:t> </w:t>
      </w:r>
      <w:r>
        <w:rPr/>
        <w:t>identity</w:t>
      </w:r>
      <w:r>
        <w:rPr>
          <w:spacing w:val="-5"/>
        </w:rPr>
        <w:t> </w:t>
      </w:r>
      <w:r>
        <w:rPr/>
        <w:t>and</w:t>
      </w:r>
      <w:r>
        <w:rPr>
          <w:spacing w:val="2"/>
        </w:rPr>
        <w:t> </w:t>
      </w:r>
      <w:r>
        <w:rPr/>
        <w:t>goals</w:t>
      </w:r>
      <w:r>
        <w:rPr>
          <w:spacing w:val="-1"/>
        </w:rPr>
        <w:t> </w:t>
      </w:r>
      <w:r>
        <w:rPr/>
        <w:t>should be respected,</w:t>
      </w:r>
      <w:r>
        <w:rPr>
          <w:spacing w:val="-1"/>
        </w:rPr>
        <w:t> </w:t>
      </w:r>
      <w:r>
        <w:rPr/>
        <w:t>whether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stability</w:t>
      </w:r>
      <w:r>
        <w:rPr>
          <w:spacing w:val="-57"/>
        </w:rPr>
        <w:t> </w:t>
      </w:r>
      <w:r>
        <w:rPr/>
        <w:t>or</w:t>
      </w:r>
      <w:r>
        <w:rPr>
          <w:spacing w:val="-1"/>
        </w:rPr>
        <w:t> </w:t>
      </w:r>
      <w:r>
        <w:rPr/>
        <w:t>dysphoria</w:t>
      </w:r>
      <w:r>
        <w:rPr>
          <w:spacing w:val="-2"/>
        </w:rPr>
        <w:t> </w:t>
      </w:r>
      <w:r>
        <w:rPr/>
        <w:t>in their current sexual</w:t>
      </w:r>
      <w:r>
        <w:rPr>
          <w:spacing w:val="-1"/>
        </w:rPr>
        <w:t> </w:t>
      </w:r>
      <w:r>
        <w:rPr/>
        <w:t>or gender identity.</w:t>
      </w:r>
    </w:p>
    <w:p>
      <w:pPr>
        <w:pStyle w:val="BodyText"/>
        <w:spacing w:line="480" w:lineRule="auto" w:before="1"/>
        <w:ind w:left="1440" w:right="1539" w:firstLine="719"/>
      </w:pPr>
      <w:r>
        <w:rPr/>
        <w:t>Whatever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psychological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ontological</w:t>
      </w:r>
      <w:r>
        <w:rPr>
          <w:spacing w:val="-1"/>
        </w:rPr>
        <w:t> </w:t>
      </w:r>
      <w:r>
        <w:rPr/>
        <w:t>status 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question,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evidence</w:t>
      </w:r>
      <w:r>
        <w:rPr>
          <w:spacing w:val="-2"/>
        </w:rPr>
        <w:t> </w:t>
      </w:r>
      <w:r>
        <w:rPr/>
        <w:t>presented</w:t>
      </w:r>
      <w:r>
        <w:rPr>
          <w:spacing w:val="-57"/>
        </w:rPr>
        <w:t> </w:t>
      </w:r>
      <w:r>
        <w:rPr/>
        <w:t>above makes clear that, contrary to the claims of Blosnich et al., SOCE treatment strongly</w:t>
      </w:r>
      <w:r>
        <w:rPr>
          <w:spacing w:val="1"/>
        </w:rPr>
        <w:t> </w:t>
      </w:r>
      <w:r>
        <w:rPr/>
        <w:t>reduces suicidality among sexual minorities, especially when undergoing such treatment as an</w:t>
      </w:r>
      <w:r>
        <w:rPr>
          <w:spacing w:val="1"/>
        </w:rPr>
        <w:t> </w:t>
      </w:r>
      <w:r>
        <w:rPr/>
        <w:t>adult.</w:t>
      </w:r>
      <w:r>
        <w:rPr>
          <w:spacing w:val="1"/>
        </w:rPr>
        <w:t> </w:t>
      </w:r>
      <w:r>
        <w:rPr/>
        <w:t>Judicial or legislative restrictions on SOCE participation deprive sexual minorities of an</w:t>
      </w:r>
      <w:r>
        <w:rPr>
          <w:spacing w:val="1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resource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reducing</w:t>
      </w:r>
      <w:r>
        <w:rPr>
          <w:spacing w:val="-2"/>
        </w:rPr>
        <w:t> </w:t>
      </w:r>
      <w:r>
        <w:rPr/>
        <w:t>suicidality,</w:t>
      </w:r>
      <w:r>
        <w:rPr>
          <w:spacing w:val="-1"/>
        </w:rPr>
        <w:t> </w:t>
      </w:r>
      <w:r>
        <w:rPr/>
        <w:t>putting</w:t>
      </w:r>
      <w:r>
        <w:rPr>
          <w:spacing w:val="-2"/>
        </w:rPr>
        <w:t> </w:t>
      </w:r>
      <w:r>
        <w:rPr/>
        <w:t>them at substantially</w:t>
      </w:r>
      <w:r>
        <w:rPr>
          <w:spacing w:val="-6"/>
        </w:rPr>
        <w:t> </w:t>
      </w:r>
      <w:r>
        <w:rPr/>
        <w:t>higher suicide risk.</w:t>
      </w:r>
    </w:p>
    <w:p>
      <w:pPr>
        <w:spacing w:after="0" w:line="480" w:lineRule="auto"/>
        <w:sectPr>
          <w:pgSz w:w="12240" w:h="15840"/>
          <w:pgMar w:header="722" w:footer="0" w:top="980" w:bottom="280" w:left="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90"/>
        <w:ind w:left="1440" w:right="0" w:firstLine="0"/>
        <w:jc w:val="left"/>
        <w:rPr>
          <w:sz w:val="24"/>
        </w:rPr>
      </w:pPr>
      <w:r>
        <w:rPr>
          <w:sz w:val="24"/>
        </w:rPr>
        <w:t>Babbie,</w:t>
      </w:r>
      <w:r>
        <w:rPr>
          <w:spacing w:val="-1"/>
          <w:sz w:val="24"/>
        </w:rPr>
        <w:t> </w:t>
      </w:r>
      <w:r>
        <w:rPr>
          <w:sz w:val="24"/>
        </w:rPr>
        <w:t>Earl</w:t>
      </w:r>
      <w:r>
        <w:rPr>
          <w:spacing w:val="-1"/>
          <w:sz w:val="24"/>
        </w:rPr>
        <w:t> </w:t>
      </w:r>
      <w:r>
        <w:rPr>
          <w:sz w:val="24"/>
        </w:rPr>
        <w:t>R.</w:t>
      </w:r>
      <w:r>
        <w:rPr>
          <w:spacing w:val="-1"/>
          <w:sz w:val="24"/>
        </w:rPr>
        <w:t> </w:t>
      </w:r>
      <w:r>
        <w:rPr>
          <w:sz w:val="24"/>
        </w:rPr>
        <w:t>2012.</w:t>
      </w:r>
      <w:r>
        <w:rPr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Practice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13th</w:t>
      </w:r>
      <w:r>
        <w:rPr>
          <w:spacing w:val="-1"/>
          <w:sz w:val="24"/>
        </w:rPr>
        <w:t> </w:t>
      </w:r>
      <w:r>
        <w:rPr>
          <w:sz w:val="24"/>
        </w:rPr>
        <w:t>ed.</w:t>
      </w:r>
      <w:r>
        <w:rPr>
          <w:spacing w:val="-1"/>
          <w:sz w:val="24"/>
        </w:rPr>
        <w:t> </w:t>
      </w:r>
      <w:r>
        <w:rPr>
          <w:sz w:val="24"/>
        </w:rPr>
        <w:t>Cengage</w:t>
      </w:r>
      <w:r>
        <w:rPr>
          <w:spacing w:val="1"/>
          <w:sz w:val="24"/>
        </w:rPr>
        <w:t> </w:t>
      </w:r>
      <w:r>
        <w:rPr>
          <w:sz w:val="24"/>
        </w:rPr>
        <w:t>Learning.</w:t>
      </w:r>
    </w:p>
    <w:p>
      <w:pPr>
        <w:pStyle w:val="BodyText"/>
      </w:pPr>
    </w:p>
    <w:p>
      <w:pPr>
        <w:spacing w:line="480" w:lineRule="auto" w:before="0"/>
        <w:ind w:left="2160" w:right="1561" w:hanging="720"/>
        <w:jc w:val="both"/>
        <w:rPr>
          <w:sz w:val="24"/>
        </w:rPr>
      </w:pPr>
      <w:r>
        <w:rPr>
          <w:sz w:val="24"/>
        </w:rPr>
        <w:t>Bailey, J. Michael, Paul L. Vasey, Lisa M. Diamond, S. Marc Breedlove, Eric Vilain, and Marc</w:t>
      </w:r>
      <w:r>
        <w:rPr>
          <w:spacing w:val="-58"/>
          <w:sz w:val="24"/>
        </w:rPr>
        <w:t> </w:t>
      </w:r>
      <w:r>
        <w:rPr>
          <w:sz w:val="24"/>
        </w:rPr>
        <w:t>Epprecht. 2016. “Sexual Orientation, Controversy, and Science.” </w:t>
      </w:r>
      <w:r>
        <w:rPr>
          <w:i/>
          <w:sz w:val="24"/>
        </w:rPr>
        <w:t>Psychological Science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Public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Interest</w:t>
      </w:r>
      <w:r>
        <w:rPr>
          <w:i/>
          <w:spacing w:val="2"/>
          <w:sz w:val="24"/>
        </w:rPr>
        <w:t> </w:t>
      </w:r>
      <w:r>
        <w:rPr>
          <w:sz w:val="24"/>
        </w:rPr>
        <w:t>17</w:t>
      </w:r>
      <w:r>
        <w:rPr>
          <w:spacing w:val="2"/>
          <w:sz w:val="24"/>
        </w:rPr>
        <w:t> </w:t>
      </w:r>
      <w:r>
        <w:rPr>
          <w:sz w:val="24"/>
        </w:rPr>
        <w:t>(2): 45–101.</w:t>
      </w:r>
    </w:p>
    <w:p>
      <w:pPr>
        <w:pStyle w:val="BodyText"/>
        <w:spacing w:line="480" w:lineRule="auto"/>
        <w:ind w:left="2160" w:right="1528" w:hanging="720"/>
      </w:pPr>
      <w:r>
        <w:rPr/>
        <w:t>Blosnich,</w:t>
      </w:r>
      <w:r>
        <w:rPr>
          <w:spacing w:val="-2"/>
        </w:rPr>
        <w:t> </w:t>
      </w:r>
      <w:r>
        <w:rPr/>
        <w:t>John</w:t>
      </w:r>
      <w:r>
        <w:rPr>
          <w:spacing w:val="-1"/>
        </w:rPr>
        <w:t> </w:t>
      </w:r>
      <w:r>
        <w:rPr/>
        <w:t>R.,</w:t>
      </w:r>
      <w:r>
        <w:rPr>
          <w:spacing w:val="-1"/>
        </w:rPr>
        <w:t> </w:t>
      </w:r>
      <w:r>
        <w:rPr/>
        <w:t>Emmett</w:t>
      </w:r>
      <w:r>
        <w:rPr>
          <w:spacing w:val="-1"/>
        </w:rPr>
        <w:t> </w:t>
      </w:r>
      <w:r>
        <w:rPr/>
        <w:t>R.</w:t>
      </w:r>
      <w:r>
        <w:rPr>
          <w:spacing w:val="-2"/>
        </w:rPr>
        <w:t> </w:t>
      </w:r>
      <w:r>
        <w:rPr/>
        <w:t>Henderson,</w:t>
      </w:r>
      <w:r>
        <w:rPr>
          <w:spacing w:val="-1"/>
        </w:rPr>
        <w:t> </w:t>
      </w:r>
      <w:r>
        <w:rPr/>
        <w:t>Robert WS</w:t>
      </w:r>
      <w:r>
        <w:rPr>
          <w:spacing w:val="-1"/>
        </w:rPr>
        <w:t> </w:t>
      </w:r>
      <w:r>
        <w:rPr/>
        <w:t>Coulter,</w:t>
      </w:r>
      <w:r>
        <w:rPr>
          <w:spacing w:val="-1"/>
        </w:rPr>
        <w:t> </w:t>
      </w:r>
      <w:r>
        <w:rPr/>
        <w:t>Jeremy</w:t>
      </w:r>
      <w:r>
        <w:rPr>
          <w:spacing w:val="-7"/>
        </w:rPr>
        <w:t> </w:t>
      </w:r>
      <w:r>
        <w:rPr/>
        <w:t>T.</w:t>
      </w:r>
      <w:r>
        <w:rPr>
          <w:spacing w:val="-1"/>
        </w:rPr>
        <w:t> </w:t>
      </w:r>
      <w:r>
        <w:rPr/>
        <w:t>Goldbach,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Ilan H.</w:t>
      </w:r>
      <w:r>
        <w:rPr>
          <w:spacing w:val="-57"/>
        </w:rPr>
        <w:t> </w:t>
      </w:r>
      <w:r>
        <w:rPr/>
        <w:t>Meyer. 2020. “Sexual Orientation Change Efforts, Adverse Childhood Experiences, and</w:t>
      </w:r>
      <w:r>
        <w:rPr>
          <w:spacing w:val="-57"/>
        </w:rPr>
        <w:t> </w:t>
      </w:r>
      <w:r>
        <w:rPr/>
        <w:t>Suicide Ideation and Attempt Among Sexual Minority Adults, United States, 2016–</w:t>
      </w:r>
      <w:r>
        <w:rPr>
          <w:spacing w:val="1"/>
        </w:rPr>
        <w:t> </w:t>
      </w:r>
      <w:r>
        <w:rPr/>
        <w:t>2018.”</w:t>
      </w:r>
      <w:r>
        <w:rPr>
          <w:spacing w:val="-2"/>
        </w:rPr>
        <w:t> </w:t>
      </w:r>
      <w:r>
        <w:rPr>
          <w:i/>
        </w:rPr>
        <w:t>American</w:t>
      </w:r>
      <w:r>
        <w:rPr>
          <w:i/>
          <w:spacing w:val="1"/>
        </w:rPr>
        <w:t> </w:t>
      </w:r>
      <w:r>
        <w:rPr>
          <w:i/>
        </w:rPr>
        <w:t>Journal of Public Health</w:t>
      </w:r>
      <w:r>
        <w:rPr/>
        <w:t>, no. 0: e1–e7.</w:t>
      </w:r>
    </w:p>
    <w:p>
      <w:pPr>
        <w:spacing w:before="1"/>
        <w:ind w:left="1440" w:right="0" w:firstLine="0"/>
        <w:jc w:val="left"/>
        <w:rPr>
          <w:i/>
          <w:sz w:val="24"/>
        </w:rPr>
      </w:pPr>
      <w:r>
        <w:rPr>
          <w:sz w:val="24"/>
        </w:rPr>
        <w:t>Diamond, Lisa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2016. “Sexual Fluidity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Male and</w:t>
      </w:r>
      <w:r>
        <w:rPr>
          <w:spacing w:val="-1"/>
          <w:sz w:val="24"/>
        </w:rPr>
        <w:t> </w:t>
      </w:r>
      <w:r>
        <w:rPr>
          <w:sz w:val="24"/>
        </w:rPr>
        <w:t>Females.” </w:t>
      </w:r>
      <w:r>
        <w:rPr>
          <w:i/>
          <w:sz w:val="24"/>
        </w:rPr>
        <w:t>Current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Sexual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Health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Reports</w:t>
      </w:r>
    </w:p>
    <w:p>
      <w:pPr>
        <w:pStyle w:val="BodyText"/>
        <w:rPr>
          <w:i/>
        </w:rPr>
      </w:pPr>
    </w:p>
    <w:p>
      <w:pPr>
        <w:pStyle w:val="BodyText"/>
        <w:ind w:left="2160"/>
      </w:pPr>
      <w:r>
        <w:rPr/>
        <w:t>8</w:t>
      </w:r>
      <w:r>
        <w:rPr>
          <w:spacing w:val="-1"/>
        </w:rPr>
        <w:t> </w:t>
      </w:r>
      <w:r>
        <w:rPr/>
        <w:t>(4):</w:t>
      </w:r>
      <w:r>
        <w:rPr>
          <w:spacing w:val="-1"/>
        </w:rPr>
        <w:t> </w:t>
      </w:r>
      <w:r>
        <w:rPr/>
        <w:t>249–56.</w:t>
      </w:r>
    </w:p>
    <w:p>
      <w:pPr>
        <w:pStyle w:val="BodyText"/>
      </w:pPr>
    </w:p>
    <w:p>
      <w:pPr>
        <w:pStyle w:val="BodyText"/>
        <w:spacing w:line="480" w:lineRule="auto"/>
        <w:ind w:left="2160" w:right="1413" w:hanging="720"/>
        <w:jc w:val="both"/>
      </w:pPr>
      <w:r>
        <w:rPr/>
        <w:t>Diamond, Lisa M., and Clifford J. Rosky. 2016. “Scrutinizing Immutability: Research on Sexual</w:t>
      </w:r>
      <w:r>
        <w:rPr>
          <w:spacing w:val="-57"/>
        </w:rPr>
        <w:t> </w:t>
      </w:r>
      <w:r>
        <w:rPr/>
        <w:t>Orientation and US Legal Advocacy for Sexual Minorities.” </w:t>
      </w:r>
      <w:r>
        <w:rPr>
          <w:i/>
        </w:rPr>
        <w:t>The Journal of Sex Research</w:t>
      </w:r>
      <w:r>
        <w:rPr>
          <w:i/>
          <w:spacing w:val="-58"/>
        </w:rPr>
        <w:t> </w:t>
      </w:r>
      <w:r>
        <w:rPr/>
        <w:t>53</w:t>
      </w:r>
      <w:r>
        <w:rPr>
          <w:spacing w:val="-1"/>
        </w:rPr>
        <w:t> </w:t>
      </w:r>
      <w:r>
        <w:rPr/>
        <w:t>(4–5): 363–91.</w:t>
      </w:r>
    </w:p>
    <w:p>
      <w:pPr>
        <w:pStyle w:val="BodyText"/>
        <w:spacing w:line="480" w:lineRule="auto" w:before="1"/>
        <w:ind w:left="2160" w:right="2062" w:hanging="720"/>
      </w:pPr>
      <w:r>
        <w:rPr/>
        <w:t>Ganna, Andrea, Karin J. H. Verweij, Michel G. Nivard, Robert Maier, Robbee Wedow,</w:t>
      </w:r>
      <w:r>
        <w:rPr>
          <w:spacing w:val="1"/>
        </w:rPr>
        <w:t> </w:t>
      </w:r>
      <w:r>
        <w:rPr/>
        <w:t>Alexander S. Busch, Abdel Abdellaoui, et al. 2019. “Large-Scale GWAS Reveals</w:t>
      </w:r>
      <w:r>
        <w:rPr>
          <w:spacing w:val="1"/>
        </w:rPr>
        <w:t> </w:t>
      </w:r>
      <w:r>
        <w:rPr/>
        <w:t>Insights into the Genetic Architecture of Same-Sex Sexual Behavior.” </w:t>
      </w:r>
      <w:r>
        <w:rPr>
          <w:i/>
        </w:rPr>
        <w:t>Science </w:t>
      </w:r>
      <w:r>
        <w:rPr/>
        <w:t>365</w:t>
      </w:r>
      <w:r>
        <w:rPr>
          <w:spacing w:val="-57"/>
        </w:rPr>
        <w:t> </w:t>
      </w:r>
      <w:r>
        <w:rPr/>
        <w:t>(6456):</w:t>
      </w:r>
      <w:r>
        <w:rPr>
          <w:spacing w:val="-1"/>
        </w:rPr>
        <w:t> </w:t>
      </w:r>
      <w:r>
        <w:rPr/>
        <w:t>eaat7693. https://doi.org/10.1126/science.aat7693.</w:t>
      </w:r>
    </w:p>
    <w:p>
      <w:pPr>
        <w:pStyle w:val="BodyText"/>
        <w:spacing w:line="480" w:lineRule="auto" w:before="1"/>
        <w:ind w:left="2160" w:right="1421" w:hanging="720"/>
      </w:pPr>
      <w:r>
        <w:rPr/>
        <w:t>Krueger,</w:t>
      </w:r>
      <w:r>
        <w:rPr>
          <w:spacing w:val="-2"/>
        </w:rPr>
        <w:t> </w:t>
      </w:r>
      <w:r>
        <w:rPr/>
        <w:t>E.A.,</w:t>
      </w:r>
      <w:r>
        <w:rPr>
          <w:spacing w:val="-1"/>
        </w:rPr>
        <w:t> </w:t>
      </w:r>
      <w:r>
        <w:rPr/>
        <w:t>A. Lin,</w:t>
      </w:r>
      <w:r>
        <w:rPr>
          <w:spacing w:val="-1"/>
        </w:rPr>
        <w:t> </w:t>
      </w:r>
      <w:r>
        <w:rPr/>
        <w:t>K.R. Kittle,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I.H.</w:t>
      </w:r>
      <w:r>
        <w:rPr>
          <w:spacing w:val="-1"/>
        </w:rPr>
        <w:t> </w:t>
      </w:r>
      <w:r>
        <w:rPr/>
        <w:t>Meyer.</w:t>
      </w:r>
      <w:r>
        <w:rPr>
          <w:spacing w:val="-2"/>
        </w:rPr>
        <w:t> </w:t>
      </w:r>
      <w:r>
        <w:rPr/>
        <w:t>2020.</w:t>
      </w:r>
      <w:r>
        <w:rPr>
          <w:spacing w:val="-1"/>
        </w:rPr>
        <w:t> </w:t>
      </w:r>
      <w:r>
        <w:rPr/>
        <w:t>“Generations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A Study</w:t>
      </w:r>
      <w:r>
        <w:rPr>
          <w:spacing w:val="-9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Life</w:t>
      </w:r>
      <w:r>
        <w:rPr>
          <w:spacing w:val="-1"/>
        </w:rPr>
        <w:t> </w:t>
      </w:r>
      <w:r>
        <w:rPr/>
        <w:t>and</w:t>
      </w:r>
      <w:r>
        <w:rPr>
          <w:spacing w:val="-57"/>
        </w:rPr>
        <w:t> </w:t>
      </w:r>
      <w:r>
        <w:rPr/>
        <w:t>Health of LGB People in a Changing Society (Methodology and Technical Notes, Gallup</w:t>
      </w:r>
      <w:r>
        <w:rPr>
          <w:spacing w:val="-57"/>
        </w:rPr>
        <w:t> </w:t>
      </w:r>
      <w:r>
        <w:rPr/>
        <w:t>Quantitative Survey).” Los Angeles, CA: Williams Institute. http://www.generations-</w:t>
      </w:r>
      <w:r>
        <w:rPr>
          <w:spacing w:val="1"/>
        </w:rPr>
        <w:t> </w:t>
      </w:r>
      <w:r>
        <w:rPr/>
        <w:t>study.com/methods.</w:t>
      </w:r>
    </w:p>
    <w:p>
      <w:pPr>
        <w:spacing w:after="0" w:line="480" w:lineRule="auto"/>
        <w:sectPr>
          <w:pgSz w:w="12240" w:h="15840"/>
          <w:pgMar w:header="722" w:footer="0" w:top="980" w:bottom="280" w:left="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 w:before="214"/>
        <w:ind w:left="2160" w:right="1174" w:hanging="720"/>
      </w:pPr>
      <w:r>
        <w:rPr/>
        <w:t>Meyer,</w:t>
      </w:r>
      <w:r>
        <w:rPr>
          <w:spacing w:val="-1"/>
        </w:rPr>
        <w:t> </w:t>
      </w:r>
      <w:r>
        <w:rPr/>
        <w:t>Ilan H.</w:t>
      </w:r>
      <w:r>
        <w:rPr>
          <w:spacing w:val="-2"/>
        </w:rPr>
        <w:t> </w:t>
      </w:r>
      <w:r>
        <w:rPr/>
        <w:t>2020.</w:t>
      </w:r>
      <w:r>
        <w:rPr>
          <w:spacing w:val="-1"/>
        </w:rPr>
        <w:t> </w:t>
      </w:r>
      <w:r>
        <w:rPr/>
        <w:t>“Generations: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Study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the Life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Health</w:t>
      </w:r>
      <w:r>
        <w:rPr>
          <w:spacing w:val="-1"/>
        </w:rPr>
        <w:t> </w:t>
      </w:r>
      <w:r>
        <w:rPr/>
        <w:t>of LGB</w:t>
      </w:r>
      <w:r>
        <w:rPr>
          <w:spacing w:val="-3"/>
        </w:rPr>
        <w:t> </w:t>
      </w:r>
      <w:r>
        <w:rPr/>
        <w:t>People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Changing</w:t>
      </w:r>
      <w:r>
        <w:rPr>
          <w:spacing w:val="-57"/>
        </w:rPr>
        <w:t> </w:t>
      </w:r>
      <w:r>
        <w:rPr/>
        <w:t>Society, United States, 2016-2019: Version 1.” Inter-University Consortium for Political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Social Research. https://doi.org/10.3886/ICPSR37166.V1.</w:t>
      </w:r>
    </w:p>
    <w:p>
      <w:pPr>
        <w:pStyle w:val="BodyText"/>
        <w:spacing w:line="480" w:lineRule="auto"/>
        <w:ind w:left="2160" w:right="1612" w:hanging="720"/>
      </w:pPr>
      <w:r>
        <w:rPr/>
        <w:t>Polderman,</w:t>
      </w:r>
      <w:r>
        <w:rPr>
          <w:spacing w:val="-2"/>
        </w:rPr>
        <w:t> </w:t>
      </w:r>
      <w:r>
        <w:rPr/>
        <w:t>Tinca</w:t>
      </w:r>
      <w:r>
        <w:rPr>
          <w:spacing w:val="-2"/>
        </w:rPr>
        <w:t> </w:t>
      </w:r>
      <w:r>
        <w:rPr/>
        <w:t>J C,</w:t>
      </w:r>
      <w:r>
        <w:rPr>
          <w:spacing w:val="-1"/>
        </w:rPr>
        <w:t> </w:t>
      </w:r>
      <w:r>
        <w:rPr/>
        <w:t>Beben</w:t>
      </w:r>
      <w:r>
        <w:rPr>
          <w:spacing w:val="-1"/>
        </w:rPr>
        <w:t> </w:t>
      </w:r>
      <w:r>
        <w:rPr/>
        <w:t>Benyamin,</w:t>
      </w:r>
      <w:r>
        <w:rPr>
          <w:spacing w:val="-2"/>
        </w:rPr>
        <w:t> </w:t>
      </w:r>
      <w:r>
        <w:rPr/>
        <w:t>Christiaan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Leeuw,</w:t>
      </w:r>
      <w:r>
        <w:rPr>
          <w:spacing w:val="-1"/>
        </w:rPr>
        <w:t> </w:t>
      </w:r>
      <w:r>
        <w:rPr/>
        <w:t>Patrick F</w:t>
      </w:r>
      <w:r>
        <w:rPr>
          <w:spacing w:val="-2"/>
        </w:rPr>
        <w:t> </w:t>
      </w:r>
      <w:r>
        <w:rPr/>
        <w:t>Sullivan,</w:t>
      </w:r>
      <w:r>
        <w:rPr>
          <w:spacing w:val="-1"/>
        </w:rPr>
        <w:t> </w:t>
      </w:r>
      <w:r>
        <w:rPr/>
        <w:t>Arjen</w:t>
      </w:r>
      <w:r>
        <w:rPr>
          <w:spacing w:val="-1"/>
        </w:rPr>
        <w:t> </w:t>
      </w:r>
      <w:r>
        <w:rPr/>
        <w:t>van</w:t>
      </w:r>
      <w:r>
        <w:rPr>
          <w:spacing w:val="-57"/>
        </w:rPr>
        <w:t> </w:t>
      </w:r>
      <w:r>
        <w:rPr/>
        <w:t>Bochoven, Peter M Visscher, and Danielle Posthuma. 2015. “Meta-Analysis of the</w:t>
      </w:r>
      <w:r>
        <w:rPr>
          <w:spacing w:val="1"/>
        </w:rPr>
        <w:t> </w:t>
      </w:r>
      <w:r>
        <w:rPr/>
        <w:t>Heritability of Human Traits Based on Fifty Years of Twin Studies.” </w:t>
      </w:r>
      <w:r>
        <w:rPr>
          <w:i/>
        </w:rPr>
        <w:t>Nat Genet </w:t>
      </w:r>
      <w:r>
        <w:rPr/>
        <w:t>47 (7):</w:t>
      </w:r>
      <w:r>
        <w:rPr>
          <w:spacing w:val="-57"/>
        </w:rPr>
        <w:t> </w:t>
      </w:r>
      <w:r>
        <w:rPr/>
        <w:t>702–9.</w:t>
      </w:r>
    </w:p>
    <w:p>
      <w:pPr>
        <w:pStyle w:val="BodyText"/>
        <w:spacing w:line="480" w:lineRule="auto" w:before="1"/>
        <w:ind w:left="2160" w:right="1481" w:hanging="720"/>
      </w:pPr>
      <w:r>
        <w:rPr/>
        <w:t>Williams, Ken, and Elisabeth Woning, eds. 2018. </w:t>
      </w:r>
      <w:r>
        <w:rPr>
          <w:i/>
        </w:rPr>
        <w:t>CHANGED: #Oncegay Stories</w:t>
      </w:r>
      <w:r>
        <w:rPr/>
        <w:t>. Redding, CA:</w:t>
      </w:r>
      <w:r>
        <w:rPr>
          <w:spacing w:val="-57"/>
        </w:rPr>
        <w:t> </w:t>
      </w:r>
      <w:r>
        <w:rPr/>
        <w:t>Equipped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Love. https://changedmovement.com/changed-book.</w:t>
      </w:r>
    </w:p>
    <w:sectPr>
      <w:pgSz w:w="12240" w:h="15840"/>
      <w:pgMar w:header="722" w:footer="0" w:top="980" w:bottom="280" w:left="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Schoolbook">
    <w:altName w:val="Century Schoolbook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73999pt;margin-top:35.10664pt;width:68.25pt;height:15.3pt;mso-position-horizontal-relative:page;mso-position-vertical-relative:page;z-index:-16040960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2.73999pt;margin-top:35.10664pt;width:68.25pt;height:15.3pt;mso-position-horizontal-relative:page;mso-position-vertical-relative:page;z-index:-16040448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19"/>
      <w:ind w:left="1440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sullins@cua.edu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editorialmanager.com/ajph/download.aspx?id=461353&amp;guid=2ffe8b4c-efcc-465b-9def-fdb219f83e24&amp;scheme=1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yperlink" Target="https://www.editorialmanager.com/ajph/download.aspx?id=461354&amp;guid=b8af80c1-7ba9-463f-a9b1-de7374e79f3f&amp;scheme=1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</dc:creator>
  <dcterms:created xsi:type="dcterms:W3CDTF">2021-11-12T22:23:15Z</dcterms:created>
  <dcterms:modified xsi:type="dcterms:W3CDTF">2021-11-12T22:23:15Z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LastSaved">
    <vt:filetime>2021-11-12T00:00:00Z</vt:filetime>
  </property>
</Properties>
</file>